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  <w:r w:rsidRPr="002A22F6">
        <w:rPr>
          <w:rFonts w:asciiTheme="majorHAnsi" w:hAnsiTheme="majorHAnsi" w:cs="Arial"/>
          <w:noProof/>
          <w:sz w:val="16"/>
          <w:szCs w:val="16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735404</wp:posOffset>
            </wp:positionH>
            <wp:positionV relativeFrom="paragraph">
              <wp:posOffset>-38558</wp:posOffset>
            </wp:positionV>
            <wp:extent cx="4298876" cy="744279"/>
            <wp:effectExtent l="19050" t="0" r="9525" b="0"/>
            <wp:wrapSquare wrapText="lef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742950"/>
                    </a:xfrm>
                    <a:prstGeom prst="rect">
                      <a:avLst/>
                    </a:prstGeom>
                    <a:solidFill>
                      <a:srgbClr val="8EB4E3">
                        <a:alpha val="34999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16"/>
          <w:szCs w:val="16"/>
        </w:rPr>
      </w:pPr>
    </w:p>
    <w:tbl>
      <w:tblPr>
        <w:tblW w:w="1003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1E0"/>
      </w:tblPr>
      <w:tblGrid>
        <w:gridCol w:w="1208"/>
        <w:gridCol w:w="8823"/>
      </w:tblGrid>
      <w:tr w:rsidR="00F01020" w:rsidRPr="002A22F6" w:rsidTr="002A22F6">
        <w:trPr>
          <w:trHeight w:val="600"/>
        </w:trPr>
        <w:tc>
          <w:tcPr>
            <w:tcW w:w="1003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01020" w:rsidRPr="002A22F6" w:rsidRDefault="006A466D" w:rsidP="004B62BC">
            <w:pPr>
              <w:spacing w:before="200" w:after="20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  <w:b/>
                <w:i/>
              </w:rPr>
              <w:t>REMONT</w:t>
            </w:r>
            <w:r w:rsidR="002A6289" w:rsidRPr="002A22F6">
              <w:rPr>
                <w:rFonts w:asciiTheme="majorHAnsi" w:hAnsiTheme="majorHAnsi" w:cs="Arial"/>
                <w:b/>
                <w:i/>
              </w:rPr>
              <w:t xml:space="preserve"> SANITARIATÓW W ZESPOLE SZKÓŁ IM. BOLESŁAWA PRUSA PRZY UL. PRUSA 20 W CZĘSTOCHOWIE</w:t>
            </w:r>
          </w:p>
        </w:tc>
      </w:tr>
      <w:tr w:rsidR="00F01020" w:rsidRPr="002A22F6" w:rsidTr="002A22F6">
        <w:trPr>
          <w:trHeight w:val="473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</w:rPr>
            </w:pPr>
            <w:r w:rsidRPr="002A22F6">
              <w:rPr>
                <w:rFonts w:asciiTheme="majorHAnsi" w:hAnsiTheme="majorHAnsi" w:cs="Arial"/>
                <w:i/>
              </w:rPr>
              <w:t xml:space="preserve">STADIUM </w:t>
            </w:r>
          </w:p>
        </w:tc>
        <w:tc>
          <w:tcPr>
            <w:tcW w:w="86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01020" w:rsidRPr="002A22F6" w:rsidRDefault="00F01020" w:rsidP="004B62BC">
            <w:pPr>
              <w:jc w:val="center"/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 xml:space="preserve">PROJEKT </w:t>
            </w:r>
            <w:r w:rsidR="002A6289" w:rsidRPr="002A22F6">
              <w:rPr>
                <w:rFonts w:asciiTheme="majorHAnsi" w:hAnsiTheme="majorHAnsi" w:cs="Arial"/>
                <w:b/>
                <w:i/>
              </w:rPr>
              <w:t>BUDOWLANO-</w:t>
            </w:r>
            <w:r w:rsidR="004B62BC" w:rsidRPr="002A22F6">
              <w:rPr>
                <w:rFonts w:asciiTheme="majorHAnsi" w:hAnsiTheme="majorHAnsi" w:cs="Arial"/>
                <w:b/>
                <w:i/>
              </w:rPr>
              <w:t>WYKONAWCZY</w:t>
            </w:r>
          </w:p>
        </w:tc>
      </w:tr>
      <w:tr w:rsidR="00F01020" w:rsidRPr="002A22F6" w:rsidTr="002A22F6"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01020" w:rsidRPr="002A22F6" w:rsidRDefault="00F01020" w:rsidP="002A22F6">
            <w:pPr>
              <w:spacing w:before="30" w:after="30"/>
              <w:jc w:val="center"/>
              <w:rPr>
                <w:rFonts w:asciiTheme="majorHAnsi" w:hAnsiTheme="majorHAnsi" w:cs="Arial"/>
                <w:i/>
              </w:rPr>
            </w:pPr>
            <w:r w:rsidRPr="002A22F6">
              <w:rPr>
                <w:rFonts w:asciiTheme="majorHAnsi" w:hAnsiTheme="majorHAnsi" w:cs="Arial"/>
                <w:i/>
              </w:rPr>
              <w:t>BRANŻA</w:t>
            </w:r>
          </w:p>
        </w:tc>
        <w:tc>
          <w:tcPr>
            <w:tcW w:w="865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01020" w:rsidRPr="002A22F6" w:rsidRDefault="002A3A42" w:rsidP="002A22F6">
            <w:pPr>
              <w:spacing w:before="30" w:after="30"/>
              <w:jc w:val="center"/>
              <w:rPr>
                <w:rFonts w:asciiTheme="majorHAnsi" w:hAnsiTheme="majorHAnsi" w:cs="Arial"/>
                <w:i/>
              </w:rPr>
            </w:pPr>
            <w:r>
              <w:rPr>
                <w:rFonts w:asciiTheme="majorHAnsi" w:hAnsiTheme="majorHAnsi" w:cs="Arial"/>
                <w:i/>
              </w:rPr>
              <w:t>ELEKTRYCZNA</w:t>
            </w:r>
          </w:p>
        </w:tc>
      </w:tr>
    </w:tbl>
    <w:p w:rsidR="00F01020" w:rsidRPr="002A22F6" w:rsidRDefault="00F01020" w:rsidP="00F01020">
      <w:pPr>
        <w:rPr>
          <w:rFonts w:asciiTheme="majorHAnsi" w:hAnsiTheme="majorHAnsi" w:cs="Arial"/>
          <w:b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383"/>
        <w:gridCol w:w="6905"/>
      </w:tblGrid>
      <w:tr w:rsidR="00F01020" w:rsidRPr="002A22F6" w:rsidTr="002A22F6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1020" w:rsidRPr="002A22F6" w:rsidRDefault="00F01020" w:rsidP="002A22F6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>ADRES OBIEKTU: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7CED" w:rsidRPr="002A22F6" w:rsidRDefault="00897CED" w:rsidP="002A22F6">
            <w:pPr>
              <w:jc w:val="center"/>
              <w:rPr>
                <w:rFonts w:asciiTheme="majorHAnsi" w:hAnsiTheme="majorHAnsi" w:cs="Arial"/>
              </w:rPr>
            </w:pPr>
          </w:p>
          <w:p w:rsidR="00F01020" w:rsidRPr="002A22F6" w:rsidRDefault="003F3844" w:rsidP="002A22F6">
            <w:pPr>
              <w:jc w:val="center"/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ZESPÓŁ SZKÓŁ IM. BOLESŁAWA PRUSA</w:t>
            </w:r>
          </w:p>
          <w:p w:rsidR="00F01020" w:rsidRPr="002A22F6" w:rsidRDefault="00E81DBF" w:rsidP="002A22F6">
            <w:pPr>
              <w:jc w:val="center"/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 xml:space="preserve">UL. </w:t>
            </w:r>
            <w:r w:rsidR="003F3844" w:rsidRPr="002A22F6">
              <w:rPr>
                <w:rFonts w:asciiTheme="majorHAnsi" w:hAnsiTheme="majorHAnsi" w:cs="Arial"/>
              </w:rPr>
              <w:t>BOLESŁAWA PRUSA</w:t>
            </w:r>
            <w:r w:rsidR="00F01020" w:rsidRPr="002A22F6">
              <w:rPr>
                <w:rFonts w:asciiTheme="majorHAnsi" w:hAnsiTheme="majorHAnsi" w:cs="Arial"/>
              </w:rPr>
              <w:t xml:space="preserve"> </w:t>
            </w:r>
            <w:r w:rsidR="003F3844" w:rsidRPr="002A22F6">
              <w:rPr>
                <w:rFonts w:asciiTheme="majorHAnsi" w:hAnsiTheme="majorHAnsi" w:cs="Arial"/>
              </w:rPr>
              <w:t>20</w:t>
            </w:r>
            <w:r w:rsidR="00F01020" w:rsidRPr="002A22F6">
              <w:rPr>
                <w:rFonts w:asciiTheme="majorHAnsi" w:hAnsiTheme="majorHAnsi" w:cs="Arial"/>
              </w:rPr>
              <w:t>; 42-2</w:t>
            </w:r>
            <w:r w:rsidR="003F3844" w:rsidRPr="002A22F6">
              <w:rPr>
                <w:rFonts w:asciiTheme="majorHAnsi" w:hAnsiTheme="majorHAnsi" w:cs="Arial"/>
              </w:rPr>
              <w:t>00</w:t>
            </w:r>
            <w:r w:rsidR="00F01020" w:rsidRPr="002A22F6">
              <w:rPr>
                <w:rFonts w:asciiTheme="majorHAnsi" w:hAnsiTheme="majorHAnsi" w:cs="Arial"/>
              </w:rPr>
              <w:t xml:space="preserve"> CZĘSTOCHOWA</w:t>
            </w:r>
          </w:p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</w:rPr>
            </w:pPr>
          </w:p>
        </w:tc>
      </w:tr>
    </w:tbl>
    <w:p w:rsidR="00F01020" w:rsidRPr="002A22F6" w:rsidRDefault="00F01020" w:rsidP="00F01020">
      <w:pPr>
        <w:jc w:val="center"/>
        <w:rPr>
          <w:rFonts w:asciiTheme="majorHAnsi" w:hAnsiTheme="majorHAnsi" w:cs="Arial"/>
          <w:b/>
          <w:sz w:val="16"/>
          <w:szCs w:val="16"/>
        </w:rPr>
      </w:pPr>
    </w:p>
    <w:p w:rsidR="00F01020" w:rsidRPr="002A22F6" w:rsidRDefault="00F01020" w:rsidP="00F01020">
      <w:pPr>
        <w:jc w:val="center"/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464"/>
        <w:gridCol w:w="6824"/>
      </w:tblGrid>
      <w:tr w:rsidR="00F01020" w:rsidRPr="002A22F6" w:rsidTr="002A22F6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1020" w:rsidRPr="002A22F6" w:rsidRDefault="00F01020" w:rsidP="002A22F6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 xml:space="preserve">JEDNOSTKA </w:t>
            </w:r>
          </w:p>
          <w:p w:rsidR="00F01020" w:rsidRPr="002A22F6" w:rsidRDefault="00F01020" w:rsidP="002A22F6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>OPRACOWUJACA: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Firma Usługowa „GAWŁOWSKI”</w:t>
            </w:r>
          </w:p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Gawłowski Piotr</w:t>
            </w:r>
          </w:p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42-221 Częstochowa, ul. Biała 7</w:t>
            </w:r>
          </w:p>
        </w:tc>
      </w:tr>
    </w:tbl>
    <w:p w:rsidR="00F01020" w:rsidRPr="002A22F6" w:rsidRDefault="00F01020" w:rsidP="00F01020">
      <w:pPr>
        <w:rPr>
          <w:rFonts w:asciiTheme="majorHAnsi" w:hAnsiTheme="majorHAnsi" w:cs="Arial"/>
          <w:b/>
          <w:sz w:val="16"/>
          <w:szCs w:val="16"/>
        </w:rPr>
      </w:pPr>
    </w:p>
    <w:p w:rsidR="00F01020" w:rsidRPr="002A22F6" w:rsidRDefault="00F01020" w:rsidP="00F01020">
      <w:pPr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412"/>
        <w:gridCol w:w="6876"/>
      </w:tblGrid>
      <w:tr w:rsidR="00F01020" w:rsidRPr="002A22F6" w:rsidTr="002A22F6">
        <w:tc>
          <w:tcPr>
            <w:tcW w:w="2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1020" w:rsidRPr="002A22F6" w:rsidRDefault="00F01020" w:rsidP="002A22F6">
            <w:pPr>
              <w:rPr>
                <w:rFonts w:asciiTheme="majorHAnsi" w:hAnsiTheme="majorHAnsi" w:cs="Arial"/>
                <w:b/>
                <w:i/>
              </w:rPr>
            </w:pPr>
            <w:r w:rsidRPr="002A22F6">
              <w:rPr>
                <w:rFonts w:asciiTheme="majorHAnsi" w:hAnsiTheme="majorHAnsi" w:cs="Arial"/>
                <w:b/>
                <w:i/>
              </w:rPr>
              <w:t>ZAMAWIAJĄCY:</w:t>
            </w:r>
          </w:p>
        </w:tc>
        <w:tc>
          <w:tcPr>
            <w:tcW w:w="75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GMINA MIASTO CZĘSTOCHOWA</w:t>
            </w:r>
          </w:p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UL. ŚLĄSKA 11/13</w:t>
            </w:r>
          </w:p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42-200 CZĘSTOCHOWA</w:t>
            </w:r>
          </w:p>
        </w:tc>
      </w:tr>
    </w:tbl>
    <w:p w:rsidR="00F01020" w:rsidRPr="002A22F6" w:rsidRDefault="00F01020" w:rsidP="00F01020">
      <w:pPr>
        <w:rPr>
          <w:rFonts w:asciiTheme="majorHAnsi" w:hAnsiTheme="majorHAnsi" w:cs="Arial"/>
          <w:sz w:val="26"/>
          <w:szCs w:val="26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26"/>
          <w:szCs w:val="26"/>
        </w:rPr>
      </w:pPr>
    </w:p>
    <w:tbl>
      <w:tblPr>
        <w:tblW w:w="9196" w:type="dxa"/>
        <w:jc w:val="center"/>
        <w:tblInd w:w="-7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464"/>
        <w:gridCol w:w="2127"/>
        <w:gridCol w:w="1904"/>
        <w:gridCol w:w="1701"/>
      </w:tblGrid>
      <w:tr w:rsidR="00F01020" w:rsidRPr="002A22F6" w:rsidTr="00F01020">
        <w:trPr>
          <w:trHeight w:val="36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Opracował: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Nr uprawnień: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Data: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Podpis:</w:t>
            </w:r>
          </w:p>
        </w:tc>
      </w:tr>
      <w:tr w:rsidR="00F01020" w:rsidRPr="002A22F6" w:rsidTr="00F01020">
        <w:trPr>
          <w:trHeight w:val="405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020" w:rsidRPr="002A22F6" w:rsidRDefault="00F01020" w:rsidP="002A22F6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mgr inż. Sebastian Gawłowski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020" w:rsidRPr="002A22F6" w:rsidRDefault="00F01020" w:rsidP="002A22F6">
            <w:pPr>
              <w:jc w:val="center"/>
              <w:rPr>
                <w:rFonts w:asciiTheme="majorHAnsi" w:eastAsia="ArialNarrow" w:hAnsiTheme="majorHAnsi" w:cs="Arial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020" w:rsidRPr="002A22F6" w:rsidRDefault="002A6289" w:rsidP="002A6289">
            <w:pPr>
              <w:jc w:val="center"/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 xml:space="preserve">Sierpień </w:t>
            </w:r>
            <w:r w:rsidR="00F01020" w:rsidRPr="002A22F6">
              <w:rPr>
                <w:rFonts w:asciiTheme="majorHAnsi" w:hAnsiTheme="majorHAnsi" w:cs="Arial"/>
              </w:rPr>
              <w:t>201</w:t>
            </w:r>
            <w:r w:rsidRPr="002A22F6">
              <w:rPr>
                <w:rFonts w:asciiTheme="majorHAnsi" w:hAnsiTheme="majorHAnsi" w:cs="Arial"/>
              </w:rPr>
              <w:t>8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</w:rPr>
            </w:pPr>
          </w:p>
        </w:tc>
      </w:tr>
      <w:tr w:rsidR="00F01020" w:rsidRPr="002A22F6" w:rsidTr="00F01020">
        <w:trPr>
          <w:trHeight w:val="36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Projektował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Nr uprawnień: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Data: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A22F6">
              <w:rPr>
                <w:rFonts w:asciiTheme="majorHAnsi" w:hAnsiTheme="majorHAnsi" w:cs="Arial"/>
                <w:i/>
                <w:sz w:val="20"/>
                <w:szCs w:val="20"/>
              </w:rPr>
              <w:t>Podpis:</w:t>
            </w:r>
          </w:p>
        </w:tc>
      </w:tr>
      <w:tr w:rsidR="00F01020" w:rsidRPr="002A22F6" w:rsidTr="00F01020">
        <w:trPr>
          <w:trHeight w:val="58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020" w:rsidRPr="002A22F6" w:rsidRDefault="00F01020" w:rsidP="00312741">
            <w:pPr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 xml:space="preserve">mgr inż. </w:t>
            </w:r>
            <w:r w:rsidR="00312741">
              <w:rPr>
                <w:rFonts w:asciiTheme="majorHAnsi" w:hAnsiTheme="majorHAnsi" w:cs="Arial"/>
              </w:rPr>
              <w:t>Paweł Kożuch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020" w:rsidRPr="002A22F6" w:rsidRDefault="00163FA4" w:rsidP="002A22F6">
            <w:pPr>
              <w:jc w:val="center"/>
              <w:rPr>
                <w:rFonts w:asciiTheme="majorHAnsi" w:eastAsia="ArialNarrow" w:hAnsiTheme="majorHAnsi" w:cs="Arial"/>
                <w:sz w:val="20"/>
                <w:szCs w:val="20"/>
              </w:rPr>
            </w:pPr>
            <w:r>
              <w:rPr>
                <w:rFonts w:asciiTheme="majorHAnsi" w:eastAsia="ArialNarrow" w:hAnsiTheme="majorHAnsi" w:cs="Arial"/>
                <w:sz w:val="20"/>
                <w:szCs w:val="20"/>
              </w:rPr>
              <w:t>SLK/4013/PWOE/11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1020" w:rsidRPr="002A22F6" w:rsidRDefault="002A6289" w:rsidP="002A6289">
            <w:pPr>
              <w:jc w:val="center"/>
              <w:rPr>
                <w:rFonts w:asciiTheme="majorHAnsi" w:hAnsiTheme="majorHAnsi" w:cs="Arial"/>
              </w:rPr>
            </w:pPr>
            <w:r w:rsidRPr="002A22F6">
              <w:rPr>
                <w:rFonts w:asciiTheme="majorHAnsi" w:hAnsiTheme="majorHAnsi" w:cs="Arial"/>
              </w:rPr>
              <w:t>Sierpień</w:t>
            </w:r>
            <w:r w:rsidR="00F01020" w:rsidRPr="002A22F6">
              <w:rPr>
                <w:rFonts w:asciiTheme="majorHAnsi" w:hAnsiTheme="majorHAnsi" w:cs="Arial"/>
              </w:rPr>
              <w:t xml:space="preserve"> 201</w:t>
            </w:r>
            <w:r w:rsidRPr="002A22F6">
              <w:rPr>
                <w:rFonts w:asciiTheme="majorHAnsi" w:hAnsiTheme="majorHAnsi" w:cs="Arial"/>
              </w:rPr>
              <w:t>8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01020" w:rsidRPr="002A22F6" w:rsidRDefault="00F01020" w:rsidP="002A22F6">
            <w:pPr>
              <w:jc w:val="center"/>
              <w:rPr>
                <w:rFonts w:asciiTheme="majorHAnsi" w:hAnsiTheme="majorHAnsi" w:cs="Arial"/>
              </w:rPr>
            </w:pPr>
          </w:p>
        </w:tc>
      </w:tr>
    </w:tbl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3F3844" w:rsidRPr="002A22F6" w:rsidRDefault="003F3844" w:rsidP="00F01020">
      <w:pPr>
        <w:rPr>
          <w:rFonts w:asciiTheme="majorHAnsi" w:hAnsiTheme="majorHAnsi" w:cs="Arial"/>
        </w:rPr>
      </w:pPr>
    </w:p>
    <w:p w:rsidR="00E81DBF" w:rsidRPr="002A22F6" w:rsidRDefault="00E81DBF" w:rsidP="00F01020">
      <w:pPr>
        <w:rPr>
          <w:rFonts w:asciiTheme="majorHAnsi" w:hAnsiTheme="majorHAnsi" w:cs="Arial"/>
        </w:rPr>
      </w:pPr>
    </w:p>
    <w:p w:rsidR="00F01020" w:rsidRPr="002A22F6" w:rsidRDefault="00F01020" w:rsidP="00F01020">
      <w:pPr>
        <w:rPr>
          <w:rFonts w:asciiTheme="majorHAnsi" w:hAnsiTheme="majorHAnsi" w:cs="Arial"/>
        </w:rPr>
      </w:pPr>
    </w:p>
    <w:p w:rsidR="00F01020" w:rsidRPr="002A22F6" w:rsidRDefault="002A6289" w:rsidP="00F01020">
      <w:pPr>
        <w:jc w:val="center"/>
        <w:rPr>
          <w:rFonts w:asciiTheme="majorHAnsi" w:hAnsiTheme="majorHAnsi" w:cs="Arial"/>
        </w:rPr>
      </w:pPr>
      <w:r w:rsidRPr="002A22F6">
        <w:rPr>
          <w:rFonts w:asciiTheme="majorHAnsi" w:hAnsiTheme="majorHAnsi" w:cs="Arial"/>
        </w:rPr>
        <w:t>Sierpień 2018</w:t>
      </w:r>
    </w:p>
    <w:p w:rsidR="00F01020" w:rsidRPr="002A22F6" w:rsidRDefault="00F01020" w:rsidP="00F01020">
      <w:pPr>
        <w:tabs>
          <w:tab w:val="left" w:pos="5529"/>
        </w:tabs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lastRenderedPageBreak/>
        <w:tab/>
        <w:t xml:space="preserve">Częstochowa, dn. </w:t>
      </w:r>
      <w:r w:rsidR="002A6289" w:rsidRPr="002A22F6">
        <w:rPr>
          <w:rFonts w:asciiTheme="majorHAnsi" w:hAnsiTheme="majorHAnsi" w:cs="Arial"/>
          <w:sz w:val="22"/>
          <w:szCs w:val="22"/>
        </w:rPr>
        <w:t>30</w:t>
      </w:r>
      <w:r w:rsidRPr="002A22F6">
        <w:rPr>
          <w:rFonts w:asciiTheme="majorHAnsi" w:hAnsiTheme="majorHAnsi" w:cs="Arial"/>
          <w:sz w:val="22"/>
          <w:szCs w:val="22"/>
        </w:rPr>
        <w:t>.0</w:t>
      </w:r>
      <w:r w:rsidR="002A6289" w:rsidRPr="002A22F6">
        <w:rPr>
          <w:rFonts w:asciiTheme="majorHAnsi" w:hAnsiTheme="majorHAnsi" w:cs="Arial"/>
          <w:sz w:val="22"/>
          <w:szCs w:val="22"/>
        </w:rPr>
        <w:t>8</w:t>
      </w:r>
      <w:r w:rsidRPr="002A22F6">
        <w:rPr>
          <w:rFonts w:asciiTheme="majorHAnsi" w:hAnsiTheme="majorHAnsi" w:cs="Arial"/>
          <w:sz w:val="22"/>
          <w:szCs w:val="22"/>
        </w:rPr>
        <w:t>.201</w:t>
      </w:r>
      <w:r w:rsidR="002A6289" w:rsidRPr="002A22F6">
        <w:rPr>
          <w:rFonts w:asciiTheme="majorHAnsi" w:hAnsiTheme="majorHAnsi" w:cs="Arial"/>
          <w:sz w:val="22"/>
          <w:szCs w:val="22"/>
        </w:rPr>
        <w:t>8</w:t>
      </w:r>
      <w:r w:rsidRPr="002A22F6">
        <w:rPr>
          <w:rFonts w:asciiTheme="majorHAnsi" w:hAnsiTheme="majorHAnsi" w:cs="Arial"/>
          <w:sz w:val="22"/>
          <w:szCs w:val="22"/>
        </w:rPr>
        <w:t>r.</w:t>
      </w:r>
    </w:p>
    <w:p w:rsidR="00F01020" w:rsidRPr="002A22F6" w:rsidRDefault="00F01020" w:rsidP="00F01020">
      <w:pPr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center"/>
        <w:rPr>
          <w:rFonts w:asciiTheme="majorHAnsi" w:hAnsiTheme="majorHAnsi" w:cs="Arial"/>
          <w:b/>
          <w:smallCaps/>
          <w:sz w:val="28"/>
          <w:szCs w:val="28"/>
          <w:u w:val="single"/>
        </w:rPr>
      </w:pPr>
      <w:r w:rsidRPr="002A22F6">
        <w:rPr>
          <w:rFonts w:asciiTheme="majorHAnsi" w:hAnsiTheme="majorHAnsi" w:cs="Arial"/>
          <w:b/>
          <w:smallCaps/>
          <w:sz w:val="28"/>
          <w:szCs w:val="28"/>
          <w:u w:val="single"/>
        </w:rPr>
        <w:t>Oświadczenie</w:t>
      </w:r>
    </w:p>
    <w:p w:rsidR="00F01020" w:rsidRPr="002A22F6" w:rsidRDefault="00F01020" w:rsidP="00F01020">
      <w:pPr>
        <w:jc w:val="center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center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center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ab/>
        <w:t xml:space="preserve">Oświadczam, że projekt budowlany </w:t>
      </w:r>
      <w:r w:rsidR="006A466D">
        <w:rPr>
          <w:rFonts w:asciiTheme="majorHAnsi" w:hAnsiTheme="majorHAnsi" w:cs="Arial"/>
          <w:sz w:val="22"/>
          <w:szCs w:val="22"/>
        </w:rPr>
        <w:t>remontu</w:t>
      </w:r>
      <w:r w:rsidR="002A6289" w:rsidRPr="002A22F6">
        <w:rPr>
          <w:rFonts w:asciiTheme="majorHAnsi" w:hAnsiTheme="majorHAnsi" w:cs="Arial"/>
          <w:sz w:val="22"/>
          <w:szCs w:val="22"/>
        </w:rPr>
        <w:t xml:space="preserve"> sanitariatów w Zespole Szkół im. Bolesława Prusa przy ul. Prusa 20 </w:t>
      </w:r>
      <w:r w:rsidRPr="002A22F6">
        <w:rPr>
          <w:rFonts w:asciiTheme="majorHAnsi" w:hAnsiTheme="majorHAnsi" w:cs="Arial"/>
          <w:sz w:val="22"/>
          <w:szCs w:val="22"/>
        </w:rPr>
        <w:t xml:space="preserve"> w Częstochowie</w:t>
      </w:r>
      <w:r w:rsidR="002A6289" w:rsidRPr="002A22F6">
        <w:rPr>
          <w:rFonts w:asciiTheme="majorHAnsi" w:hAnsiTheme="majorHAnsi" w:cs="Arial"/>
          <w:sz w:val="22"/>
          <w:szCs w:val="22"/>
        </w:rPr>
        <w:t xml:space="preserve"> </w:t>
      </w:r>
      <w:r w:rsidRPr="002A22F6">
        <w:rPr>
          <w:rFonts w:asciiTheme="majorHAnsi" w:hAnsiTheme="majorHAnsi" w:cs="Arial"/>
          <w:sz w:val="22"/>
          <w:szCs w:val="22"/>
        </w:rPr>
        <w:t>jest zgodny z obowiązującymi przepisami oraz zasadami wiedzy technicznej (art. 20, ust. 4 Ustawy Prawo Budowlane z dnia 7 lipca 1994roku Dz. U. nr 207 z 2003r. poz. 2016</w:t>
      </w: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ab/>
        <w:t>Oświadczam, że zakres projektowanej inwestycji nie wykracza poza granice działki objętej opracowaniem.</w:t>
      </w: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163FA4" w:rsidP="00F01020">
      <w:p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  <w:lang w:eastAsia="pl-PL"/>
        </w:rPr>
        <w:lastRenderedPageBreak/>
        <w:drawing>
          <wp:inline distT="0" distB="0" distL="0" distR="0">
            <wp:extent cx="5475605" cy="7953375"/>
            <wp:effectExtent l="19050" t="0" r="0" b="0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795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163FA4" w:rsidP="00F01020">
      <w:pPr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  <w:lang w:eastAsia="pl-PL"/>
        </w:rPr>
        <w:lastRenderedPageBreak/>
        <w:drawing>
          <wp:inline distT="0" distB="0" distL="0" distR="0">
            <wp:extent cx="5760720" cy="8186968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86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</w:rPr>
      </w:pPr>
    </w:p>
    <w:p w:rsidR="00F01020" w:rsidRPr="002A22F6" w:rsidRDefault="00F01020" w:rsidP="00F01020">
      <w:pPr>
        <w:jc w:val="center"/>
        <w:rPr>
          <w:rFonts w:asciiTheme="majorHAnsi" w:hAnsiTheme="majorHAnsi" w:cs="Arial"/>
          <w:b/>
          <w:smallCaps/>
          <w:sz w:val="28"/>
          <w:szCs w:val="28"/>
        </w:rPr>
      </w:pPr>
      <w:r w:rsidRPr="002A22F6">
        <w:rPr>
          <w:rFonts w:asciiTheme="majorHAnsi" w:hAnsiTheme="majorHAnsi" w:cs="Arial"/>
          <w:b/>
          <w:smallCaps/>
          <w:sz w:val="28"/>
          <w:szCs w:val="28"/>
        </w:rPr>
        <w:lastRenderedPageBreak/>
        <w:t>Spis treści opracowania</w:t>
      </w:r>
    </w:p>
    <w:p w:rsidR="00F01020" w:rsidRPr="002A22F6" w:rsidRDefault="00F01020" w:rsidP="00F01020">
      <w:pPr>
        <w:jc w:val="center"/>
        <w:rPr>
          <w:rFonts w:asciiTheme="majorHAnsi" w:hAnsiTheme="majorHAnsi" w:cs="Arial"/>
        </w:rPr>
      </w:pPr>
    </w:p>
    <w:p w:rsidR="00F01020" w:rsidRPr="002A22F6" w:rsidRDefault="00F01020" w:rsidP="00F01020">
      <w:pPr>
        <w:pStyle w:val="Akapitzlist"/>
        <w:ind w:left="1440"/>
        <w:jc w:val="both"/>
        <w:rPr>
          <w:rFonts w:asciiTheme="majorHAnsi" w:hAnsiTheme="majorHAnsi" w:cs="Arial"/>
        </w:rPr>
      </w:pPr>
    </w:p>
    <w:p w:rsidR="00312741" w:rsidRPr="009E0267" w:rsidRDefault="00312741" w:rsidP="00312741">
      <w:pPr>
        <w:pStyle w:val="Akapitzlist"/>
        <w:numPr>
          <w:ilvl w:val="0"/>
          <w:numId w:val="42"/>
        </w:numPr>
        <w:jc w:val="both"/>
        <w:rPr>
          <w:rFonts w:asciiTheme="majorHAnsi" w:hAnsiTheme="majorHAnsi" w:cs="Arial"/>
          <w:b/>
          <w:smallCaps/>
          <w:sz w:val="22"/>
          <w:szCs w:val="22"/>
        </w:rPr>
      </w:pPr>
      <w:r w:rsidRPr="009E0267">
        <w:rPr>
          <w:rFonts w:asciiTheme="majorHAnsi" w:hAnsiTheme="majorHAnsi" w:cs="Arial"/>
          <w:b/>
          <w:smallCaps/>
          <w:sz w:val="22"/>
          <w:szCs w:val="22"/>
        </w:rPr>
        <w:t>OPIS OGÓLNY OBIEKTU</w:t>
      </w:r>
    </w:p>
    <w:p w:rsidR="00312741" w:rsidRPr="009E0267" w:rsidRDefault="00312741" w:rsidP="00312741">
      <w:pPr>
        <w:pStyle w:val="Akapitzlist"/>
        <w:numPr>
          <w:ilvl w:val="0"/>
          <w:numId w:val="42"/>
        </w:numPr>
        <w:spacing w:before="100" w:beforeAutospacing="1" w:after="100" w:afterAutospacing="1"/>
        <w:ind w:left="714" w:hanging="357"/>
        <w:jc w:val="both"/>
        <w:rPr>
          <w:rFonts w:asciiTheme="majorHAnsi" w:hAnsiTheme="majorHAnsi" w:cs="Arial"/>
          <w:b/>
          <w:smallCaps/>
          <w:sz w:val="22"/>
          <w:szCs w:val="22"/>
        </w:rPr>
      </w:pPr>
      <w:r w:rsidRPr="009E0267">
        <w:rPr>
          <w:rFonts w:asciiTheme="majorHAnsi" w:hAnsiTheme="majorHAnsi" w:cs="Arial"/>
          <w:b/>
          <w:smallCaps/>
          <w:sz w:val="22"/>
          <w:szCs w:val="22"/>
        </w:rPr>
        <w:t>PODSTAWA I ZAKRES OPRACOWANIA</w:t>
      </w:r>
    </w:p>
    <w:p w:rsidR="00312741" w:rsidRPr="009E0267" w:rsidRDefault="00312741" w:rsidP="00312741">
      <w:pPr>
        <w:pStyle w:val="Akapitzlist"/>
        <w:numPr>
          <w:ilvl w:val="0"/>
          <w:numId w:val="42"/>
        </w:numPr>
        <w:spacing w:before="100" w:beforeAutospacing="1" w:after="100" w:afterAutospacing="1"/>
        <w:ind w:left="714" w:hanging="357"/>
        <w:jc w:val="both"/>
        <w:rPr>
          <w:rFonts w:asciiTheme="majorHAnsi" w:hAnsiTheme="majorHAnsi" w:cs="Arial"/>
          <w:b/>
          <w:smallCaps/>
          <w:sz w:val="22"/>
          <w:szCs w:val="22"/>
        </w:rPr>
      </w:pPr>
      <w:r w:rsidRPr="009E0267">
        <w:rPr>
          <w:rFonts w:asciiTheme="majorHAnsi" w:hAnsiTheme="majorHAnsi" w:cs="Arial"/>
          <w:b/>
          <w:smallCaps/>
          <w:sz w:val="22"/>
          <w:szCs w:val="22"/>
        </w:rPr>
        <w:t>ZESTAWIENIE ROBÓT DO WYKONANIA</w:t>
      </w:r>
    </w:p>
    <w:p w:rsidR="00312741" w:rsidRPr="00442AC3" w:rsidRDefault="00312741" w:rsidP="00312741">
      <w:pPr>
        <w:pStyle w:val="Nagwek2"/>
        <w:numPr>
          <w:ilvl w:val="0"/>
          <w:numId w:val="42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DEMONTAŻ ISTNIEJACYCH INSTALACJI</w:t>
      </w:r>
    </w:p>
    <w:p w:rsidR="00312741" w:rsidRPr="00442AC3" w:rsidRDefault="00312741" w:rsidP="00312741">
      <w:pPr>
        <w:pStyle w:val="Nagwek2"/>
        <w:numPr>
          <w:ilvl w:val="0"/>
          <w:numId w:val="42"/>
        </w:numPr>
        <w:spacing w:before="100" w:beforeAutospacing="1" w:after="100" w:afterAutospacing="1" w:line="240" w:lineRule="auto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ROZBUDOWA TABLICY </w:t>
      </w:r>
    </w:p>
    <w:p w:rsidR="00312741" w:rsidRPr="00442AC3" w:rsidRDefault="00312741" w:rsidP="00312741">
      <w:pPr>
        <w:pStyle w:val="Nagwek2"/>
        <w:numPr>
          <w:ilvl w:val="0"/>
          <w:numId w:val="42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ZASILANIE INSTALACJI</w:t>
      </w:r>
    </w:p>
    <w:p w:rsidR="00312741" w:rsidRPr="00442AC3" w:rsidRDefault="00312741" w:rsidP="00312741">
      <w:pPr>
        <w:pStyle w:val="Nagwek2"/>
        <w:numPr>
          <w:ilvl w:val="0"/>
          <w:numId w:val="42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GNIAZDA WTYKOWE</w:t>
      </w:r>
    </w:p>
    <w:p w:rsidR="00312741" w:rsidRPr="00442AC3" w:rsidRDefault="00312741" w:rsidP="00312741">
      <w:pPr>
        <w:pStyle w:val="Nagwek2"/>
        <w:numPr>
          <w:ilvl w:val="0"/>
          <w:numId w:val="42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INSTALACJI OŚWIETLENIA PODSTAWOWEGO</w:t>
      </w:r>
    </w:p>
    <w:p w:rsidR="00312741" w:rsidRPr="00442AC3" w:rsidRDefault="00312741" w:rsidP="00312741">
      <w:pPr>
        <w:pStyle w:val="Nagwek3"/>
        <w:numPr>
          <w:ilvl w:val="0"/>
          <w:numId w:val="42"/>
        </w:numPr>
        <w:spacing w:before="100" w:beforeAutospacing="1" w:after="100" w:afterAutospacing="1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STEROWANIA OŚWIETLENIEM</w:t>
      </w:r>
    </w:p>
    <w:p w:rsidR="00312741" w:rsidRPr="00442AC3" w:rsidRDefault="00312741" w:rsidP="00312741">
      <w:pPr>
        <w:pStyle w:val="Nagwek3"/>
        <w:numPr>
          <w:ilvl w:val="0"/>
          <w:numId w:val="42"/>
        </w:numPr>
        <w:spacing w:before="100" w:beforeAutospacing="1" w:after="100" w:afterAutospacing="1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OPIS OPRAW OŚWIETLENIOWYCH</w:t>
      </w:r>
    </w:p>
    <w:p w:rsidR="00312741" w:rsidRPr="00442AC3" w:rsidRDefault="00312741" w:rsidP="00312741">
      <w:pPr>
        <w:pStyle w:val="Nagwek2"/>
        <w:numPr>
          <w:ilvl w:val="0"/>
          <w:numId w:val="42"/>
        </w:numPr>
        <w:spacing w:before="100" w:beforeAutospacing="1" w:after="100" w:afterAutospacing="1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INSTALACJA OŚWIETLENIA AWARYJNEGO</w:t>
      </w:r>
    </w:p>
    <w:p w:rsidR="00312741" w:rsidRPr="00442AC3" w:rsidRDefault="00312741" w:rsidP="00312741">
      <w:pPr>
        <w:pStyle w:val="Nagwek3"/>
        <w:numPr>
          <w:ilvl w:val="0"/>
          <w:numId w:val="42"/>
        </w:numPr>
        <w:spacing w:before="100" w:beforeAutospacing="1" w:after="100" w:afterAutospacing="1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OPIS OPRAW OŚWIETLENIOWYCH AWARYJNYCH</w:t>
      </w:r>
    </w:p>
    <w:p w:rsidR="00312741" w:rsidRPr="00442AC3" w:rsidRDefault="00312741" w:rsidP="00312741">
      <w:pPr>
        <w:pStyle w:val="Nagwek2"/>
        <w:numPr>
          <w:ilvl w:val="0"/>
          <w:numId w:val="42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INSTALACJA SYGNALIZACJI AWARYJNEJ - PRZYWOŁAWCZEJ </w:t>
      </w:r>
    </w:p>
    <w:p w:rsidR="00312741" w:rsidRPr="00442AC3" w:rsidRDefault="00312741" w:rsidP="00312741">
      <w:pPr>
        <w:pStyle w:val="Nagwek2"/>
        <w:numPr>
          <w:ilvl w:val="0"/>
          <w:numId w:val="42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 w:cs="Times New Roman"/>
          <w:sz w:val="22"/>
          <w:szCs w:val="22"/>
        </w:rPr>
      </w:pPr>
      <w:r w:rsidRPr="00442AC3">
        <w:rPr>
          <w:rFonts w:asciiTheme="majorHAnsi" w:hAnsiTheme="majorHAnsi" w:cs="Times New Roman"/>
          <w:sz w:val="22"/>
          <w:szCs w:val="22"/>
        </w:rPr>
        <w:t>OCHRONA PRZECIWPORAŻENIOWA.</w:t>
      </w:r>
    </w:p>
    <w:p w:rsidR="00312741" w:rsidRDefault="00312741" w:rsidP="00312741">
      <w:pPr>
        <w:pStyle w:val="Nagwek2"/>
        <w:numPr>
          <w:ilvl w:val="0"/>
          <w:numId w:val="42"/>
        </w:numPr>
        <w:spacing w:before="100" w:beforeAutospacing="1" w:after="100" w:afterAutospacing="1" w:line="240" w:lineRule="auto"/>
        <w:ind w:left="714" w:hanging="357"/>
        <w:rPr>
          <w:rFonts w:asciiTheme="majorHAnsi" w:hAnsiTheme="majorHAnsi" w:cs="Times New Roman"/>
          <w:sz w:val="22"/>
          <w:szCs w:val="22"/>
        </w:rPr>
      </w:pPr>
      <w:r w:rsidRPr="00442AC3">
        <w:rPr>
          <w:rFonts w:asciiTheme="majorHAnsi" w:hAnsiTheme="majorHAnsi" w:cs="Times New Roman"/>
          <w:sz w:val="22"/>
          <w:szCs w:val="22"/>
        </w:rPr>
        <w:t>UWAGI KOŃCOWE.</w:t>
      </w:r>
    </w:p>
    <w:p w:rsidR="00312741" w:rsidRPr="00312741" w:rsidRDefault="00312741" w:rsidP="00312741">
      <w:pPr>
        <w:pStyle w:val="Akapitzlist"/>
        <w:numPr>
          <w:ilvl w:val="0"/>
          <w:numId w:val="42"/>
        </w:numPr>
        <w:spacing w:before="100" w:beforeAutospacing="1" w:after="100" w:afterAutospacing="1"/>
        <w:ind w:left="714" w:hanging="357"/>
        <w:rPr>
          <w:rFonts w:asciiTheme="majorHAnsi" w:hAnsiTheme="majorHAnsi"/>
          <w:b/>
          <w:sz w:val="22"/>
          <w:szCs w:val="22"/>
          <w:lang w:eastAsia="zh-CN" w:bidi="hi-IN"/>
        </w:rPr>
      </w:pPr>
      <w:r w:rsidRPr="00312741">
        <w:rPr>
          <w:rFonts w:asciiTheme="majorHAnsi" w:hAnsiTheme="majorHAnsi"/>
          <w:b/>
          <w:sz w:val="22"/>
          <w:szCs w:val="22"/>
          <w:lang w:eastAsia="zh-CN" w:bidi="hi-IN"/>
        </w:rPr>
        <w:t>DOKUMENTACJARYSUNKOWE</w:t>
      </w:r>
    </w:p>
    <w:p w:rsidR="00312741" w:rsidRPr="001B185E" w:rsidRDefault="00312741" w:rsidP="00312741">
      <w:pPr>
        <w:pStyle w:val="Akapitzlist"/>
        <w:numPr>
          <w:ilvl w:val="0"/>
          <w:numId w:val="41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E1</w:t>
      </w:r>
      <w:r w:rsidRPr="001B185E">
        <w:rPr>
          <w:rFonts w:asciiTheme="majorHAnsi" w:hAnsiTheme="majorHAnsi" w:cs="Arial"/>
          <w:smallCaps/>
        </w:rPr>
        <w:t xml:space="preserve"> - Sanitariat w piwnicy </w:t>
      </w:r>
    </w:p>
    <w:p w:rsidR="00312741" w:rsidRPr="001B185E" w:rsidRDefault="00312741" w:rsidP="00312741">
      <w:pPr>
        <w:pStyle w:val="Akapitzlist"/>
        <w:numPr>
          <w:ilvl w:val="0"/>
          <w:numId w:val="41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E2</w:t>
      </w:r>
      <w:r w:rsidRPr="001B185E">
        <w:rPr>
          <w:rFonts w:asciiTheme="majorHAnsi" w:hAnsiTheme="majorHAnsi" w:cs="Arial"/>
          <w:smallCaps/>
        </w:rPr>
        <w:t xml:space="preserve"> - Sanitariat na parterze </w:t>
      </w:r>
    </w:p>
    <w:p w:rsidR="00312741" w:rsidRPr="001B185E" w:rsidRDefault="00312741" w:rsidP="00312741">
      <w:pPr>
        <w:pStyle w:val="Akapitzlist"/>
        <w:numPr>
          <w:ilvl w:val="0"/>
          <w:numId w:val="41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E3</w:t>
      </w:r>
      <w:r w:rsidRPr="001B185E">
        <w:rPr>
          <w:rFonts w:asciiTheme="majorHAnsi" w:hAnsiTheme="majorHAnsi" w:cs="Arial"/>
          <w:smallCaps/>
        </w:rPr>
        <w:t xml:space="preserve"> - Sanitariat na I piętrze </w:t>
      </w:r>
    </w:p>
    <w:p w:rsidR="00312741" w:rsidRPr="001B185E" w:rsidRDefault="00312741" w:rsidP="00312741">
      <w:pPr>
        <w:pStyle w:val="Akapitzlist"/>
        <w:numPr>
          <w:ilvl w:val="0"/>
          <w:numId w:val="41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E4</w:t>
      </w:r>
      <w:r w:rsidRPr="001B185E">
        <w:rPr>
          <w:rFonts w:asciiTheme="majorHAnsi" w:hAnsiTheme="majorHAnsi" w:cs="Arial"/>
          <w:smallCaps/>
        </w:rPr>
        <w:t xml:space="preserve"> - Sanitariat na II piętrze </w:t>
      </w:r>
    </w:p>
    <w:p w:rsidR="00312741" w:rsidRPr="001B185E" w:rsidRDefault="00312741" w:rsidP="00312741">
      <w:pPr>
        <w:pStyle w:val="Akapitzlist"/>
        <w:numPr>
          <w:ilvl w:val="0"/>
          <w:numId w:val="41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E5</w:t>
      </w:r>
      <w:r w:rsidRPr="001B185E">
        <w:rPr>
          <w:rFonts w:asciiTheme="majorHAnsi" w:hAnsiTheme="majorHAnsi" w:cs="Arial"/>
          <w:smallCaps/>
        </w:rPr>
        <w:t xml:space="preserve"> - Sanitariaty pod salą gimnastyczną </w:t>
      </w:r>
    </w:p>
    <w:p w:rsidR="00156D0A" w:rsidRPr="002A22F6" w:rsidRDefault="00156D0A" w:rsidP="00156D0A">
      <w:pPr>
        <w:pStyle w:val="Akapitzlist"/>
        <w:jc w:val="both"/>
        <w:rPr>
          <w:rFonts w:asciiTheme="majorHAnsi" w:hAnsiTheme="majorHAnsi" w:cs="Arial"/>
          <w:b/>
          <w:smallCaps/>
        </w:rPr>
      </w:pPr>
    </w:p>
    <w:p w:rsidR="00897CED" w:rsidRPr="002A22F6" w:rsidRDefault="00897CED" w:rsidP="00897CED">
      <w:pPr>
        <w:pStyle w:val="Akapitzlist"/>
        <w:jc w:val="both"/>
        <w:rPr>
          <w:rFonts w:asciiTheme="majorHAnsi" w:hAnsiTheme="majorHAnsi" w:cs="Arial"/>
          <w:b/>
          <w:smallCaps/>
        </w:rPr>
      </w:pPr>
    </w:p>
    <w:p w:rsidR="00897CED" w:rsidRPr="002A22F6" w:rsidRDefault="00897CED" w:rsidP="00897CED">
      <w:pPr>
        <w:pStyle w:val="Akapitzlist"/>
        <w:jc w:val="both"/>
        <w:rPr>
          <w:rFonts w:asciiTheme="majorHAnsi" w:hAnsiTheme="majorHAnsi" w:cs="Arial"/>
          <w:b/>
          <w:smallCaps/>
        </w:rPr>
      </w:pPr>
    </w:p>
    <w:p w:rsidR="0047004C" w:rsidRPr="002A22F6" w:rsidRDefault="0047004C" w:rsidP="00897CED">
      <w:pPr>
        <w:pStyle w:val="Akapitzlist"/>
        <w:jc w:val="both"/>
        <w:rPr>
          <w:rFonts w:asciiTheme="majorHAnsi" w:hAnsiTheme="majorHAnsi" w:cs="Arial"/>
          <w:b/>
          <w:smallCaps/>
        </w:rPr>
      </w:pPr>
      <w:r w:rsidRPr="002A22F6">
        <w:rPr>
          <w:rFonts w:asciiTheme="majorHAnsi" w:hAnsiTheme="majorHAnsi" w:cs="Arial"/>
          <w:b/>
          <w:smallCaps/>
        </w:rPr>
        <w:t>Informacja dotycząca bezpieczeństwa i ochrony zdrowia (Plan BIOZ)</w:t>
      </w:r>
    </w:p>
    <w:p w:rsidR="0047004C" w:rsidRPr="002A22F6" w:rsidRDefault="0047004C" w:rsidP="0047004C">
      <w:pPr>
        <w:jc w:val="both"/>
        <w:rPr>
          <w:rFonts w:asciiTheme="majorHAnsi" w:hAnsiTheme="majorHAnsi" w:cs="Arial"/>
          <w:b/>
          <w:smallCaps/>
        </w:rPr>
      </w:pPr>
    </w:p>
    <w:p w:rsidR="0047004C" w:rsidRPr="002A22F6" w:rsidRDefault="0047004C" w:rsidP="0047004C">
      <w:pPr>
        <w:jc w:val="both"/>
        <w:rPr>
          <w:rFonts w:asciiTheme="majorHAnsi" w:hAnsiTheme="majorHAnsi" w:cs="Arial"/>
          <w:b/>
          <w:smallCaps/>
          <w:sz w:val="22"/>
          <w:szCs w:val="22"/>
        </w:rPr>
      </w:pPr>
    </w:p>
    <w:p w:rsidR="00F01020" w:rsidRPr="002A22F6" w:rsidRDefault="00F01020" w:rsidP="00F01020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F01020" w:rsidRPr="002A22F6" w:rsidRDefault="00F01020" w:rsidP="00F01020">
      <w:pPr>
        <w:jc w:val="both"/>
        <w:rPr>
          <w:rFonts w:asciiTheme="majorHAnsi" w:hAnsiTheme="majorHAnsi" w:cs="Arial"/>
          <w:sz w:val="22"/>
          <w:szCs w:val="22"/>
        </w:rPr>
      </w:pPr>
    </w:p>
    <w:p w:rsidR="00B458D1" w:rsidRPr="002A22F6" w:rsidRDefault="00B458D1">
      <w:pPr>
        <w:rPr>
          <w:rFonts w:asciiTheme="majorHAnsi" w:hAnsiTheme="majorHAnsi" w:cs="Arial"/>
          <w:sz w:val="22"/>
          <w:szCs w:val="22"/>
        </w:rPr>
      </w:pPr>
    </w:p>
    <w:p w:rsidR="0047004C" w:rsidRDefault="0047004C">
      <w:pPr>
        <w:rPr>
          <w:rFonts w:asciiTheme="majorHAnsi" w:hAnsiTheme="majorHAnsi" w:cs="Arial"/>
          <w:sz w:val="22"/>
          <w:szCs w:val="22"/>
        </w:rPr>
      </w:pPr>
    </w:p>
    <w:p w:rsidR="001B185E" w:rsidRDefault="001B185E">
      <w:pPr>
        <w:rPr>
          <w:rFonts w:asciiTheme="majorHAnsi" w:hAnsiTheme="majorHAnsi" w:cs="Arial"/>
          <w:sz w:val="22"/>
          <w:szCs w:val="22"/>
        </w:rPr>
      </w:pPr>
    </w:p>
    <w:p w:rsidR="001B185E" w:rsidRDefault="001B185E">
      <w:pPr>
        <w:rPr>
          <w:rFonts w:asciiTheme="majorHAnsi" w:hAnsiTheme="majorHAnsi" w:cs="Arial"/>
          <w:sz w:val="22"/>
          <w:szCs w:val="22"/>
        </w:rPr>
      </w:pPr>
    </w:p>
    <w:p w:rsidR="001B185E" w:rsidRDefault="001B185E">
      <w:pPr>
        <w:rPr>
          <w:rFonts w:asciiTheme="majorHAnsi" w:hAnsiTheme="majorHAnsi" w:cs="Arial"/>
          <w:sz w:val="22"/>
          <w:szCs w:val="22"/>
        </w:rPr>
      </w:pPr>
    </w:p>
    <w:p w:rsidR="001B185E" w:rsidRDefault="001B185E">
      <w:pPr>
        <w:rPr>
          <w:rFonts w:asciiTheme="majorHAnsi" w:hAnsiTheme="majorHAnsi" w:cs="Arial"/>
          <w:sz w:val="22"/>
          <w:szCs w:val="22"/>
        </w:rPr>
      </w:pPr>
    </w:p>
    <w:p w:rsidR="001B185E" w:rsidRDefault="001B185E">
      <w:pPr>
        <w:rPr>
          <w:rFonts w:asciiTheme="majorHAnsi" w:hAnsiTheme="majorHAnsi" w:cs="Arial"/>
          <w:sz w:val="22"/>
          <w:szCs w:val="22"/>
        </w:rPr>
      </w:pPr>
    </w:p>
    <w:p w:rsidR="0047004C" w:rsidRPr="009E0267" w:rsidRDefault="009E0267" w:rsidP="00312741">
      <w:pPr>
        <w:pStyle w:val="Akapitzlist"/>
        <w:numPr>
          <w:ilvl w:val="0"/>
          <w:numId w:val="6"/>
        </w:numPr>
        <w:ind w:left="1134"/>
        <w:jc w:val="both"/>
        <w:rPr>
          <w:rFonts w:asciiTheme="majorHAnsi" w:hAnsiTheme="majorHAnsi" w:cs="Arial"/>
          <w:b/>
          <w:smallCaps/>
          <w:sz w:val="22"/>
          <w:szCs w:val="22"/>
        </w:rPr>
      </w:pPr>
      <w:r w:rsidRPr="009E0267">
        <w:rPr>
          <w:rFonts w:asciiTheme="majorHAnsi" w:hAnsiTheme="majorHAnsi" w:cs="Arial"/>
          <w:b/>
          <w:smallCaps/>
          <w:sz w:val="22"/>
          <w:szCs w:val="22"/>
        </w:rPr>
        <w:lastRenderedPageBreak/>
        <w:t>OPIS OGÓLNY OBIEKTU</w:t>
      </w:r>
    </w:p>
    <w:p w:rsidR="0047004C" w:rsidRPr="002A22F6" w:rsidRDefault="0047004C" w:rsidP="009C4F5C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9C4F5C" w:rsidRPr="002A22F6" w:rsidRDefault="0047004C" w:rsidP="00E81DBF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>Budynek wykonany w technologii tradycyjnej.</w:t>
      </w:r>
      <w:r w:rsidR="009C4F5C" w:rsidRPr="002A22F6">
        <w:rPr>
          <w:rFonts w:asciiTheme="majorHAnsi" w:hAnsiTheme="majorHAnsi" w:cs="Arial"/>
          <w:sz w:val="22"/>
          <w:szCs w:val="22"/>
        </w:rPr>
        <w:t xml:space="preserve"> Posiada </w:t>
      </w:r>
      <w:r w:rsidR="00C23756" w:rsidRPr="002A22F6">
        <w:rPr>
          <w:rFonts w:asciiTheme="majorHAnsi" w:hAnsiTheme="majorHAnsi" w:cs="Arial"/>
          <w:sz w:val="22"/>
          <w:szCs w:val="22"/>
        </w:rPr>
        <w:t>3</w:t>
      </w:r>
      <w:r w:rsidR="00E81DBF" w:rsidRPr="002A22F6">
        <w:rPr>
          <w:rFonts w:asciiTheme="majorHAnsi" w:hAnsiTheme="majorHAnsi" w:cs="Arial"/>
          <w:sz w:val="22"/>
          <w:szCs w:val="22"/>
        </w:rPr>
        <w:t xml:space="preserve"> kondygnacje nadziemne</w:t>
      </w:r>
      <w:r w:rsidR="00C23756" w:rsidRPr="002A22F6">
        <w:rPr>
          <w:rFonts w:asciiTheme="majorHAnsi" w:hAnsiTheme="majorHAnsi" w:cs="Arial"/>
          <w:sz w:val="22"/>
          <w:szCs w:val="22"/>
        </w:rPr>
        <w:t xml:space="preserve"> i 1 podziemną</w:t>
      </w:r>
      <w:r w:rsidR="00E81DBF" w:rsidRPr="002A22F6">
        <w:rPr>
          <w:rFonts w:asciiTheme="majorHAnsi" w:hAnsiTheme="majorHAnsi" w:cs="Arial"/>
          <w:sz w:val="22"/>
          <w:szCs w:val="22"/>
        </w:rPr>
        <w:t>. Budynek przystosowany do zajęć dydaktycznych praktycznych i teoretycznych w zakresie w jakim szkoła oferuje kierunki nauczania</w:t>
      </w:r>
      <w:r w:rsidR="00C23756" w:rsidRPr="002A22F6">
        <w:rPr>
          <w:rFonts w:asciiTheme="majorHAnsi" w:hAnsiTheme="majorHAnsi" w:cs="Arial"/>
          <w:sz w:val="22"/>
          <w:szCs w:val="22"/>
        </w:rPr>
        <w:t xml:space="preserve">. </w:t>
      </w:r>
    </w:p>
    <w:p w:rsidR="009C4F5C" w:rsidRPr="002A22F6" w:rsidRDefault="009C4F5C" w:rsidP="009C4F5C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47004C" w:rsidRPr="009E0267" w:rsidRDefault="009E0267" w:rsidP="00312741">
      <w:pPr>
        <w:pStyle w:val="Akapitzlist"/>
        <w:numPr>
          <w:ilvl w:val="0"/>
          <w:numId w:val="6"/>
        </w:numPr>
        <w:ind w:left="1134"/>
        <w:jc w:val="both"/>
        <w:rPr>
          <w:rFonts w:asciiTheme="majorHAnsi" w:hAnsiTheme="majorHAnsi" w:cs="Arial"/>
          <w:b/>
          <w:smallCaps/>
          <w:sz w:val="22"/>
          <w:szCs w:val="22"/>
        </w:rPr>
      </w:pPr>
      <w:r w:rsidRPr="009E0267">
        <w:rPr>
          <w:rFonts w:asciiTheme="majorHAnsi" w:hAnsiTheme="majorHAnsi" w:cs="Arial"/>
          <w:b/>
          <w:smallCaps/>
          <w:sz w:val="22"/>
          <w:szCs w:val="22"/>
        </w:rPr>
        <w:t>PODSTAWA I ZAKRES OPRACOWANIA</w:t>
      </w:r>
    </w:p>
    <w:p w:rsidR="0047004C" w:rsidRPr="002A22F6" w:rsidRDefault="0047004C" w:rsidP="009C4F5C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3D2793" w:rsidRPr="002A22F6" w:rsidRDefault="003D2793" w:rsidP="003D2793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>Podstawą opracowania jest:</w:t>
      </w:r>
    </w:p>
    <w:p w:rsidR="003D2793" w:rsidRPr="002A22F6" w:rsidRDefault="003D2793" w:rsidP="00A02F78">
      <w:pPr>
        <w:pStyle w:val="Akapitzlist"/>
        <w:numPr>
          <w:ilvl w:val="0"/>
          <w:numId w:val="23"/>
        </w:numPr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>zlecenie i umowa z Inwestorem</w:t>
      </w:r>
    </w:p>
    <w:p w:rsidR="003D2793" w:rsidRPr="002A22F6" w:rsidRDefault="003D2793" w:rsidP="00A02F78">
      <w:pPr>
        <w:pStyle w:val="Akapitzlist"/>
        <w:numPr>
          <w:ilvl w:val="0"/>
          <w:numId w:val="23"/>
        </w:numPr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>wizja lokalna i pomiary oraz ustalenia z Inwestorem i Użytkownikiem</w:t>
      </w:r>
    </w:p>
    <w:p w:rsidR="003D2793" w:rsidRPr="002A22F6" w:rsidRDefault="003D2793" w:rsidP="00A02F78">
      <w:pPr>
        <w:pStyle w:val="Akapitzlist"/>
        <w:numPr>
          <w:ilvl w:val="0"/>
          <w:numId w:val="23"/>
        </w:numPr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>obowiązujące normy i przepisy.</w:t>
      </w:r>
    </w:p>
    <w:p w:rsidR="003D2793" w:rsidRPr="002A22F6" w:rsidRDefault="003D2793" w:rsidP="003D2793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3D2793" w:rsidRPr="002A22F6" w:rsidRDefault="003D2793" w:rsidP="003D2793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3D2793" w:rsidRPr="002A22F6" w:rsidRDefault="003D2793" w:rsidP="003D2793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  <w:r w:rsidRPr="002A22F6">
        <w:rPr>
          <w:rFonts w:asciiTheme="majorHAnsi" w:hAnsiTheme="majorHAnsi" w:cs="Arial"/>
          <w:sz w:val="22"/>
          <w:szCs w:val="22"/>
        </w:rPr>
        <w:t xml:space="preserve">Przedmiotem opracowania jest wykonanie </w:t>
      </w:r>
      <w:r w:rsidR="002A6289" w:rsidRPr="002A22F6">
        <w:rPr>
          <w:rFonts w:asciiTheme="majorHAnsi" w:hAnsiTheme="majorHAnsi" w:cs="Arial"/>
          <w:sz w:val="22"/>
          <w:szCs w:val="22"/>
        </w:rPr>
        <w:t>przebudowy istniejących sanitariatów z</w:t>
      </w:r>
      <w:r w:rsidRPr="002A22F6">
        <w:rPr>
          <w:rFonts w:asciiTheme="majorHAnsi" w:hAnsiTheme="majorHAnsi" w:cs="Arial"/>
          <w:sz w:val="22"/>
          <w:szCs w:val="22"/>
        </w:rPr>
        <w:t>godnie z zakresem jaki został ustalony z Inwestorem</w:t>
      </w:r>
      <w:r w:rsidR="002A6289" w:rsidRPr="002A22F6">
        <w:rPr>
          <w:rFonts w:asciiTheme="majorHAnsi" w:hAnsiTheme="majorHAnsi" w:cs="Arial"/>
          <w:sz w:val="22"/>
          <w:szCs w:val="22"/>
        </w:rPr>
        <w:t xml:space="preserve"> i Użytkownikiem obiektu.</w:t>
      </w:r>
    </w:p>
    <w:p w:rsidR="0047004C" w:rsidRPr="002A22F6" w:rsidRDefault="0047004C" w:rsidP="009C4F5C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69045B" w:rsidRPr="009E0267" w:rsidRDefault="009E0267" w:rsidP="00312741">
      <w:pPr>
        <w:pStyle w:val="Akapitzlist"/>
        <w:numPr>
          <w:ilvl w:val="0"/>
          <w:numId w:val="6"/>
        </w:numPr>
        <w:ind w:left="1134"/>
        <w:jc w:val="both"/>
        <w:rPr>
          <w:rFonts w:asciiTheme="majorHAnsi" w:hAnsiTheme="majorHAnsi" w:cs="Arial"/>
          <w:b/>
          <w:smallCaps/>
          <w:sz w:val="22"/>
          <w:szCs w:val="22"/>
        </w:rPr>
      </w:pPr>
      <w:r w:rsidRPr="009E0267">
        <w:rPr>
          <w:rFonts w:asciiTheme="majorHAnsi" w:hAnsiTheme="majorHAnsi" w:cs="Arial"/>
          <w:b/>
          <w:smallCaps/>
          <w:sz w:val="22"/>
          <w:szCs w:val="22"/>
        </w:rPr>
        <w:t>ZESTAWIENIE ROBÓT DO WYKONANIA</w:t>
      </w:r>
    </w:p>
    <w:p w:rsidR="00206D58" w:rsidRDefault="0069045B" w:rsidP="0069045B">
      <w:pPr>
        <w:pStyle w:val="Akapitzlist"/>
        <w:numPr>
          <w:ilvl w:val="0"/>
          <w:numId w:val="40"/>
        </w:numPr>
        <w:jc w:val="both"/>
        <w:rPr>
          <w:rFonts w:asciiTheme="majorHAnsi" w:hAnsiTheme="majorHAnsi" w:cs="Arial"/>
          <w:sz w:val="22"/>
          <w:szCs w:val="22"/>
        </w:rPr>
      </w:pPr>
      <w:r w:rsidRPr="0069045B">
        <w:rPr>
          <w:rFonts w:asciiTheme="majorHAnsi" w:hAnsiTheme="majorHAnsi" w:cs="Arial"/>
          <w:sz w:val="22"/>
          <w:szCs w:val="22"/>
        </w:rPr>
        <w:t>Demontaż</w:t>
      </w:r>
      <w:r>
        <w:rPr>
          <w:rFonts w:asciiTheme="majorHAnsi" w:hAnsiTheme="majorHAnsi" w:cs="Arial"/>
          <w:sz w:val="22"/>
          <w:szCs w:val="22"/>
        </w:rPr>
        <w:t xml:space="preserve"> istniejących opraw oświetleniowych oraz przewodów</w:t>
      </w:r>
    </w:p>
    <w:p w:rsidR="0069045B" w:rsidRDefault="0069045B" w:rsidP="0069045B">
      <w:pPr>
        <w:pStyle w:val="Akapitzlist"/>
        <w:numPr>
          <w:ilvl w:val="0"/>
          <w:numId w:val="40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Demontaż istniejących gniazd wtykowych oraz przewodów</w:t>
      </w:r>
    </w:p>
    <w:p w:rsidR="0069045B" w:rsidRDefault="0069045B" w:rsidP="0069045B">
      <w:pPr>
        <w:pStyle w:val="Akapitzlist"/>
        <w:numPr>
          <w:ilvl w:val="0"/>
          <w:numId w:val="40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Demontaż istniejących wyłączników oraz przewodów</w:t>
      </w:r>
    </w:p>
    <w:p w:rsidR="0069045B" w:rsidRDefault="009E0267" w:rsidP="0069045B">
      <w:pPr>
        <w:pStyle w:val="Akapitzlist"/>
        <w:numPr>
          <w:ilvl w:val="0"/>
          <w:numId w:val="40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Rozprowadzenie nowych przewodów elektrycznych (trasy kablowe)</w:t>
      </w:r>
    </w:p>
    <w:p w:rsidR="009E0267" w:rsidRDefault="009E0267" w:rsidP="0069045B">
      <w:pPr>
        <w:pStyle w:val="Akapitzlist"/>
        <w:numPr>
          <w:ilvl w:val="0"/>
          <w:numId w:val="40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Montaż opraw oświetleniowych oświetlenia podstawowego i awaryjnego</w:t>
      </w:r>
    </w:p>
    <w:p w:rsidR="009E0267" w:rsidRDefault="009E0267" w:rsidP="0069045B">
      <w:pPr>
        <w:pStyle w:val="Akapitzlist"/>
        <w:numPr>
          <w:ilvl w:val="0"/>
          <w:numId w:val="40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Instalację przyzywową dla osób niepełnosprawnych</w:t>
      </w:r>
    </w:p>
    <w:p w:rsidR="009E0267" w:rsidRDefault="009E0267" w:rsidP="0069045B">
      <w:pPr>
        <w:pStyle w:val="Akapitzlist"/>
        <w:numPr>
          <w:ilvl w:val="0"/>
          <w:numId w:val="40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Instalację gniazd wtykowych</w:t>
      </w:r>
    </w:p>
    <w:p w:rsidR="009E0267" w:rsidRPr="0069045B" w:rsidRDefault="009E0267" w:rsidP="0069045B">
      <w:pPr>
        <w:pStyle w:val="Akapitzlist"/>
        <w:numPr>
          <w:ilvl w:val="0"/>
          <w:numId w:val="40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Rozbudowę istniejącej rozdzielnicy</w:t>
      </w:r>
    </w:p>
    <w:p w:rsidR="00CF4DED" w:rsidRPr="002A22F6" w:rsidRDefault="00CF4DED" w:rsidP="009C4F5C">
      <w:pPr>
        <w:pStyle w:val="Akapitzlist"/>
        <w:jc w:val="both"/>
        <w:rPr>
          <w:rFonts w:asciiTheme="majorHAnsi" w:hAnsiTheme="majorHAnsi" w:cs="Arial"/>
          <w:sz w:val="22"/>
          <w:szCs w:val="22"/>
        </w:rPr>
      </w:pPr>
    </w:p>
    <w:p w:rsidR="0069045B" w:rsidRPr="00442AC3" w:rsidRDefault="0069045B" w:rsidP="0069045B">
      <w:pPr>
        <w:pStyle w:val="StylWyjustowanyPierwszywiersz125cmInterlinia15wier"/>
        <w:suppressAutoHyphens w:val="0"/>
        <w:rPr>
          <w:rFonts w:asciiTheme="majorHAnsi" w:hAnsiTheme="majorHAnsi"/>
        </w:rPr>
      </w:pPr>
    </w:p>
    <w:p w:rsidR="0069045B" w:rsidRPr="00442AC3" w:rsidRDefault="0069045B" w:rsidP="00312741">
      <w:pPr>
        <w:pStyle w:val="Nagwek2"/>
        <w:numPr>
          <w:ilvl w:val="0"/>
          <w:numId w:val="6"/>
        </w:numPr>
        <w:spacing w:before="240" w:line="240" w:lineRule="auto"/>
        <w:ind w:left="1134"/>
        <w:rPr>
          <w:rFonts w:asciiTheme="majorHAnsi" w:hAnsiTheme="majorHAnsi"/>
          <w:sz w:val="22"/>
          <w:szCs w:val="22"/>
        </w:rPr>
      </w:pPr>
      <w:bookmarkStart w:id="0" w:name="_Toc423322669"/>
      <w:bookmarkStart w:id="1" w:name="_Toc423322901"/>
      <w:bookmarkStart w:id="2" w:name="_Toc423322939"/>
      <w:bookmarkStart w:id="3" w:name="_Toc424983336"/>
      <w:bookmarkStart w:id="4" w:name="_Toc443060175"/>
      <w:bookmarkStart w:id="5" w:name="_Toc449566128"/>
      <w:bookmarkStart w:id="6" w:name="_Toc463583733"/>
      <w:bookmarkStart w:id="7" w:name="_Toc478299433"/>
      <w:bookmarkStart w:id="8" w:name="_Toc497921198"/>
      <w:r w:rsidRPr="00442AC3">
        <w:rPr>
          <w:rFonts w:asciiTheme="majorHAnsi" w:hAnsiTheme="majorHAnsi"/>
          <w:sz w:val="22"/>
          <w:szCs w:val="22"/>
        </w:rPr>
        <w:t>DEMONTAŻ ISTNIEJACYCH INSTALACJI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69045B" w:rsidRPr="00442AC3" w:rsidRDefault="0069045B" w:rsidP="0069045B">
      <w:pPr>
        <w:ind w:firstLine="708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ab/>
        <w:t>W pomieszczeniu WC należy zdemontować istniejącą instalację oświetlenia (oprawy, wyłącznik, puszki i przewody) i elementy poddać utylizacji</w:t>
      </w:r>
    </w:p>
    <w:p w:rsidR="0069045B" w:rsidRPr="00442AC3" w:rsidRDefault="0069045B" w:rsidP="00312741">
      <w:pPr>
        <w:pStyle w:val="Nagwek2"/>
        <w:numPr>
          <w:ilvl w:val="0"/>
          <w:numId w:val="6"/>
        </w:numPr>
        <w:spacing w:before="240" w:line="240" w:lineRule="auto"/>
        <w:ind w:left="1134"/>
        <w:jc w:val="both"/>
        <w:rPr>
          <w:rFonts w:asciiTheme="majorHAnsi" w:hAnsiTheme="majorHAnsi"/>
          <w:sz w:val="22"/>
          <w:szCs w:val="22"/>
        </w:rPr>
      </w:pPr>
      <w:bookmarkStart w:id="9" w:name="_Toc497921199"/>
      <w:r w:rsidRPr="00442AC3">
        <w:rPr>
          <w:rFonts w:asciiTheme="majorHAnsi" w:hAnsiTheme="majorHAnsi"/>
          <w:sz w:val="22"/>
          <w:szCs w:val="22"/>
        </w:rPr>
        <w:t xml:space="preserve">ROZBUDOWA TABLICY </w:t>
      </w:r>
      <w:bookmarkEnd w:id="9"/>
    </w:p>
    <w:p w:rsidR="0069045B" w:rsidRPr="00442AC3" w:rsidRDefault="0069045B" w:rsidP="0069045B">
      <w:pPr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W celu wykonania zasilania projektowanego oświetlenia i sygnalizacji w pomieszczeniu WC przewidziano zabudowanie w </w:t>
      </w:r>
      <w:r w:rsidR="009E0267">
        <w:rPr>
          <w:rFonts w:asciiTheme="majorHAnsi" w:hAnsiTheme="majorHAnsi"/>
          <w:sz w:val="22"/>
          <w:szCs w:val="22"/>
        </w:rPr>
        <w:t xml:space="preserve">najbliżej </w:t>
      </w:r>
      <w:r w:rsidRPr="00442AC3">
        <w:rPr>
          <w:rFonts w:asciiTheme="majorHAnsi" w:hAnsiTheme="majorHAnsi"/>
          <w:sz w:val="22"/>
          <w:szCs w:val="22"/>
        </w:rPr>
        <w:t>tablicy wyłącznika różnicowo-prądowego dJ=30mA z członem nadprądowym B10. Projektowany aparat zabudować obok  istniejących zabezpieczeń.</w:t>
      </w:r>
    </w:p>
    <w:p w:rsidR="0069045B" w:rsidRPr="00442AC3" w:rsidRDefault="0069045B" w:rsidP="00312741">
      <w:pPr>
        <w:pStyle w:val="Nagwek2"/>
        <w:numPr>
          <w:ilvl w:val="0"/>
          <w:numId w:val="6"/>
        </w:numPr>
        <w:spacing w:before="240" w:line="240" w:lineRule="auto"/>
        <w:ind w:left="1134"/>
        <w:rPr>
          <w:rFonts w:asciiTheme="majorHAnsi" w:hAnsiTheme="majorHAnsi"/>
          <w:sz w:val="22"/>
          <w:szCs w:val="22"/>
        </w:rPr>
      </w:pPr>
      <w:bookmarkStart w:id="10" w:name="_Toc497921200"/>
      <w:r w:rsidRPr="00442AC3">
        <w:rPr>
          <w:rFonts w:asciiTheme="majorHAnsi" w:hAnsiTheme="majorHAnsi"/>
          <w:sz w:val="22"/>
          <w:szCs w:val="22"/>
        </w:rPr>
        <w:t>ZASILANIE INSTALACJI</w:t>
      </w:r>
      <w:bookmarkEnd w:id="10"/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Linie zasilająca prowadzić po korytarzu w kanale kablowym PCV 25x50mm . Do projektowanego kanału przełożyć kable z kanału istniejącego. Istniejący kanał zlikwidować.</w:t>
      </w:r>
    </w:p>
    <w:p w:rsidR="0069045B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Dopuszcza się wykorzystanie kanału istniejącego do prowadzenia przewodu projektowanego.</w:t>
      </w:r>
    </w:p>
    <w:p w:rsidR="00C427E1" w:rsidRPr="00442AC3" w:rsidRDefault="00C427E1" w:rsidP="00312741">
      <w:pPr>
        <w:pStyle w:val="Nagwek2"/>
        <w:numPr>
          <w:ilvl w:val="0"/>
          <w:numId w:val="6"/>
        </w:numPr>
        <w:spacing w:before="240" w:line="240" w:lineRule="auto"/>
        <w:ind w:left="113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GNIAZDA WTYKOWE</w:t>
      </w:r>
    </w:p>
    <w:p w:rsidR="00C427E1" w:rsidRDefault="00C427E1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Przewidziano wykonanie gniazd wtykowych IP44 celem zasilenia suszarki elektrycznej do rąk.</w:t>
      </w:r>
    </w:p>
    <w:p w:rsidR="00C427E1" w:rsidRPr="00442AC3" w:rsidRDefault="00C427E1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Gniazda montować na wysokości ok. 2,20m, aby nie było bezpośredniego dostępu osób przebywających w pomieszczeniu. Odległość od źródła wody min. 60cm.</w:t>
      </w:r>
    </w:p>
    <w:p w:rsidR="0069045B" w:rsidRPr="00442AC3" w:rsidRDefault="0069045B" w:rsidP="00312741">
      <w:pPr>
        <w:pStyle w:val="Nagwek2"/>
        <w:numPr>
          <w:ilvl w:val="0"/>
          <w:numId w:val="6"/>
        </w:numPr>
        <w:spacing w:before="240" w:line="240" w:lineRule="auto"/>
        <w:ind w:left="1134"/>
        <w:rPr>
          <w:rFonts w:asciiTheme="majorHAnsi" w:hAnsiTheme="majorHAnsi"/>
          <w:sz w:val="22"/>
          <w:szCs w:val="22"/>
        </w:rPr>
      </w:pPr>
      <w:bookmarkStart w:id="11" w:name="_Toc497921201"/>
      <w:r w:rsidRPr="00442AC3">
        <w:rPr>
          <w:rFonts w:asciiTheme="majorHAnsi" w:hAnsiTheme="majorHAnsi"/>
          <w:sz w:val="22"/>
          <w:szCs w:val="22"/>
        </w:rPr>
        <w:t>INSTALACJI OŚWIETLENIA PODSTAWOWEGO</w:t>
      </w:r>
      <w:bookmarkEnd w:id="11"/>
    </w:p>
    <w:p w:rsidR="0069045B" w:rsidRPr="00442AC3" w:rsidRDefault="0069045B" w:rsidP="0069045B">
      <w:pPr>
        <w:ind w:firstLine="708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69045B">
      <w:pPr>
        <w:ind w:firstLine="708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W ramach projektu przewiduje się wykonanie nowej instalacji oświetlenia.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lastRenderedPageBreak/>
        <w:t>Oprawy oświetleniowe ogólne zapewniają minimalne średnie natężenie oświetlenia według PN-EN 12464-1.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Poniżej przedstawiono przykład obliczeń natężenia oświetlenia. Na etapie realizacji należy przedstawić obliczenia oświetlenia na zastosowanych oprawach, lub wykorzystać przykładowe rozwiązanie zawarte w projekcie.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noProof/>
          <w:sz w:val="22"/>
          <w:szCs w:val="22"/>
          <w:lang w:eastAsia="pl-PL"/>
        </w:rPr>
        <w:drawing>
          <wp:inline distT="0" distB="0" distL="0" distR="0">
            <wp:extent cx="6028690" cy="7581265"/>
            <wp:effectExtent l="19050" t="0" r="0" b="0"/>
            <wp:docPr id="11" name="Obraz 11" descr="podstaw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odstawow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758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312741">
      <w:pPr>
        <w:pStyle w:val="Nagwek3"/>
        <w:numPr>
          <w:ilvl w:val="0"/>
          <w:numId w:val="6"/>
        </w:numPr>
        <w:ind w:left="1134"/>
        <w:rPr>
          <w:rFonts w:asciiTheme="majorHAnsi" w:hAnsiTheme="majorHAnsi"/>
          <w:sz w:val="22"/>
          <w:szCs w:val="22"/>
        </w:rPr>
      </w:pPr>
      <w:bookmarkStart w:id="12" w:name="_Toc488404741"/>
      <w:bookmarkStart w:id="13" w:name="_Toc497921202"/>
      <w:r w:rsidRPr="00442AC3">
        <w:rPr>
          <w:rFonts w:asciiTheme="majorHAnsi" w:hAnsiTheme="majorHAnsi"/>
          <w:sz w:val="22"/>
          <w:szCs w:val="22"/>
        </w:rPr>
        <w:lastRenderedPageBreak/>
        <w:t>OPIS OPRAW OŚWIETLENIOWYCH</w:t>
      </w:r>
      <w:bookmarkEnd w:id="12"/>
      <w:bookmarkEnd w:id="13"/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Do oświetlenia obiektu zastosowano oprawy o następujących minimalnych parametrach technicznych oraz jakościowych dla zapewniania zrealizowania wszystkich obowiązujących norm oraz projektowanej funkcjonalności. Przedstawione parametry należy rozumieć jako minimalne.</w:t>
      </w:r>
    </w:p>
    <w:p w:rsidR="0069045B" w:rsidRPr="00442AC3" w:rsidRDefault="0069045B" w:rsidP="0069045B">
      <w:pPr>
        <w:suppressAutoHyphens w:val="0"/>
        <w:autoSpaceDE w:val="0"/>
        <w:adjustRightInd w:val="0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69045B">
      <w:pPr>
        <w:suppressAutoHyphens w:val="0"/>
        <w:autoSpaceDE w:val="0"/>
        <w:adjustRightInd w:val="0"/>
        <w:rPr>
          <w:rFonts w:asciiTheme="majorHAnsi" w:hAnsiTheme="majorHAnsi"/>
          <w:b/>
          <w:sz w:val="22"/>
          <w:szCs w:val="22"/>
        </w:rPr>
      </w:pPr>
      <w:r w:rsidRPr="00442AC3">
        <w:rPr>
          <w:rFonts w:asciiTheme="majorHAnsi" w:hAnsiTheme="majorHAnsi"/>
          <w:b/>
          <w:sz w:val="22"/>
          <w:szCs w:val="22"/>
        </w:rPr>
        <w:t>A.1</w:t>
      </w:r>
    </w:p>
    <w:p w:rsidR="0069045B" w:rsidRPr="00442AC3" w:rsidRDefault="0069045B" w:rsidP="0069045B">
      <w:pPr>
        <w:suppressAutoHyphens w:val="0"/>
        <w:autoSpaceDE w:val="0"/>
        <w:adjustRightInd w:val="0"/>
        <w:rPr>
          <w:rFonts w:asciiTheme="majorHAnsi" w:hAnsiTheme="majorHAnsi"/>
          <w:color w:val="000000"/>
          <w:sz w:val="22"/>
          <w:szCs w:val="22"/>
          <w:lang w:eastAsia="pl-PL"/>
        </w:rPr>
      </w:pPr>
      <w:r w:rsidRPr="00442AC3">
        <w:rPr>
          <w:rFonts w:asciiTheme="majorHAnsi" w:hAnsiTheme="majorHAnsi"/>
          <w:color w:val="000000"/>
          <w:sz w:val="22"/>
          <w:szCs w:val="22"/>
          <w:lang w:eastAsia="pl-PL"/>
        </w:rPr>
        <w:t>Oprawa oświetleniowa na źródła LED, IP44, UGR&lt;25, T=4000K, Ra&gt;80, IK05, strumień po przejściu przez zespół optyczny =2700lm, pobór mocy 30W, typ downlight, do wbudowania w strop podwieszony, obudowa wykonana z aluminium, ramka biała, dyfuzor z opalizowanego PC, 2 klasa ochronności, żywotność 30000h (L70B50), klasa energetyczna A++, temperatura pracy: -20°C ÷ +40°C, np. BEGHELLI 71059 Downlight Compact LED IP44</w:t>
      </w:r>
    </w:p>
    <w:p w:rsidR="0069045B" w:rsidRPr="00442AC3" w:rsidRDefault="0069045B" w:rsidP="00312741">
      <w:pPr>
        <w:pStyle w:val="Nagwek3"/>
        <w:numPr>
          <w:ilvl w:val="0"/>
          <w:numId w:val="6"/>
        </w:numPr>
        <w:ind w:left="1134"/>
        <w:rPr>
          <w:rFonts w:asciiTheme="majorHAnsi" w:hAnsiTheme="majorHAnsi"/>
          <w:sz w:val="22"/>
          <w:szCs w:val="22"/>
        </w:rPr>
      </w:pPr>
      <w:bookmarkStart w:id="14" w:name="_Toc451114180"/>
      <w:bookmarkStart w:id="15" w:name="_Toc487423905"/>
      <w:bookmarkStart w:id="16" w:name="_Toc488404742"/>
      <w:bookmarkStart w:id="17" w:name="_Toc497921203"/>
      <w:r w:rsidRPr="00442AC3">
        <w:rPr>
          <w:rFonts w:asciiTheme="majorHAnsi" w:hAnsiTheme="majorHAnsi"/>
          <w:sz w:val="22"/>
          <w:szCs w:val="22"/>
        </w:rPr>
        <w:t>STEROWANIA OŚWIETLENIEM</w:t>
      </w:r>
      <w:bookmarkEnd w:id="14"/>
      <w:bookmarkEnd w:id="15"/>
      <w:bookmarkEnd w:id="16"/>
      <w:bookmarkEnd w:id="17"/>
    </w:p>
    <w:p w:rsidR="0069045B" w:rsidRDefault="009E0267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Przy wejściach do pomieszczeń zamontować łączniki pojedyncze i podwójne w zależności od rodzaju pomieszczenia , wielkości i ilości zastosowanych opraw oświetleniowych. Większość łącznik</w:t>
      </w:r>
      <w:r w:rsidR="00C427E1">
        <w:rPr>
          <w:rFonts w:asciiTheme="majorHAnsi" w:hAnsiTheme="majorHAnsi"/>
          <w:sz w:val="22"/>
          <w:szCs w:val="22"/>
        </w:rPr>
        <w:t>ó</w:t>
      </w:r>
      <w:r>
        <w:rPr>
          <w:rFonts w:asciiTheme="majorHAnsi" w:hAnsiTheme="majorHAnsi"/>
          <w:sz w:val="22"/>
          <w:szCs w:val="22"/>
        </w:rPr>
        <w:t>w zaprojektowana jako pojedyncze, część jako podwójne, które załączać będą oświetlenie sekcjami. W pomieszczeniach dla nauczycieli przewidziane jest wspomaganie wentylacji mechanicznej wentylatorem</w:t>
      </w:r>
      <w:r w:rsidR="00C427E1">
        <w:rPr>
          <w:rFonts w:asciiTheme="majorHAnsi" w:hAnsiTheme="majorHAnsi"/>
          <w:sz w:val="22"/>
          <w:szCs w:val="22"/>
        </w:rPr>
        <w:t>, który załączany będzie łącznie z oświetleniem pomieszczenia.</w:t>
      </w:r>
    </w:p>
    <w:p w:rsidR="009E0267" w:rsidRPr="00442AC3" w:rsidRDefault="009E0267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312741">
      <w:pPr>
        <w:pStyle w:val="Nagwek2"/>
        <w:numPr>
          <w:ilvl w:val="0"/>
          <w:numId w:val="6"/>
        </w:numPr>
        <w:ind w:left="1134"/>
        <w:rPr>
          <w:rFonts w:asciiTheme="majorHAnsi" w:hAnsiTheme="majorHAnsi"/>
          <w:sz w:val="22"/>
          <w:szCs w:val="22"/>
        </w:rPr>
      </w:pPr>
      <w:bookmarkStart w:id="18" w:name="_Toc470800475"/>
      <w:bookmarkStart w:id="19" w:name="_Toc488404743"/>
      <w:bookmarkStart w:id="20" w:name="_Toc497921204"/>
      <w:r w:rsidRPr="00442AC3">
        <w:rPr>
          <w:rFonts w:asciiTheme="majorHAnsi" w:hAnsiTheme="majorHAnsi"/>
          <w:sz w:val="22"/>
          <w:szCs w:val="22"/>
        </w:rPr>
        <w:t>INSTALACJA OŚWIETLENIA AWARYJNEGO</w:t>
      </w:r>
      <w:bookmarkEnd w:id="18"/>
      <w:bookmarkEnd w:id="19"/>
      <w:bookmarkEnd w:id="20"/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Dla zapewnienia bezpieczeństwa, projektuje się oprawy oświetleniowe z autotestem wyposażone w moduły awaryjne. Oprawy te załączają się automatycznie w przypadku zaniku napięcia w przypisanym im obwodzie oświetleniowym. 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Oświetlenie to winno spełniać wymagania normy PN-EN1838.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Oprawy oświetlenia awaryjnego powinny być wyposażone w moduły awaryjne oraz posiadać, wydane przez Centrum Naukowo-Badawcze Ochrony Przeciwporażeniowej w Józefowie k/Otwocka, świadectwo dopuszczenia na zgodność z wymaganiami rozporządzenia Ministra Spraw Wewnętrznych i Administracji z dnia 20 czerwca 2007 w sprawie wykazu wyrobów służących zapewnieniu bezpieczeństwa publicznego lub ochronie zdrowia i życia oraz mienia, a także zasad wydawania tych wyrobów do użytkowania (Dz.U. z 2007r. Nr 143 poz. 1002, Dz.U z 2010r. nr 85 poz. 553).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Poniżej przedstawiono przykład obliczeń oświetlenia.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noProof/>
          <w:sz w:val="22"/>
          <w:szCs w:val="22"/>
          <w:lang w:eastAsia="pl-PL"/>
        </w:rPr>
        <w:lastRenderedPageBreak/>
        <w:drawing>
          <wp:inline distT="0" distB="0" distL="0" distR="0">
            <wp:extent cx="6028690" cy="7581265"/>
            <wp:effectExtent l="19050" t="0" r="0" b="0"/>
            <wp:docPr id="12" name="Obraz 12" descr="awaryj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waryjn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758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312741">
      <w:pPr>
        <w:pStyle w:val="Nagwek3"/>
        <w:numPr>
          <w:ilvl w:val="0"/>
          <w:numId w:val="6"/>
        </w:numPr>
        <w:ind w:left="1134"/>
        <w:rPr>
          <w:rFonts w:asciiTheme="majorHAnsi" w:hAnsiTheme="majorHAnsi"/>
          <w:sz w:val="22"/>
          <w:szCs w:val="22"/>
        </w:rPr>
      </w:pPr>
      <w:bookmarkStart w:id="21" w:name="_Toc466404687"/>
      <w:bookmarkStart w:id="22" w:name="_Toc468458355"/>
      <w:bookmarkStart w:id="23" w:name="_Toc480491673"/>
      <w:bookmarkStart w:id="24" w:name="_Toc488404744"/>
      <w:bookmarkStart w:id="25" w:name="_Toc497921205"/>
      <w:r w:rsidRPr="00442AC3">
        <w:rPr>
          <w:rFonts w:asciiTheme="majorHAnsi" w:hAnsiTheme="majorHAnsi"/>
          <w:sz w:val="22"/>
          <w:szCs w:val="22"/>
        </w:rPr>
        <w:lastRenderedPageBreak/>
        <w:t>OPIS OPRAW OŚWIETLENIOWYCH AWARYJNYCH</w:t>
      </w:r>
      <w:bookmarkEnd w:id="21"/>
      <w:bookmarkEnd w:id="22"/>
      <w:bookmarkEnd w:id="23"/>
      <w:bookmarkEnd w:id="24"/>
      <w:bookmarkEnd w:id="25"/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Do oświetlenia obiektu zastosowano oprawy o następujących minimalnych parametrach technicznych oraz jakościowych dla zapewniania zrealizowania wszystkich obowiązujących norm oraz projektowanej funkcjonalności. 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b/>
          <w:sz w:val="22"/>
          <w:szCs w:val="22"/>
        </w:rPr>
      </w:pPr>
      <w:r w:rsidRPr="00442AC3">
        <w:rPr>
          <w:rFonts w:asciiTheme="majorHAnsi" w:hAnsiTheme="majorHAnsi"/>
          <w:b/>
          <w:sz w:val="22"/>
          <w:szCs w:val="22"/>
        </w:rPr>
        <w:t>EW1</w:t>
      </w:r>
    </w:p>
    <w:p w:rsidR="0069045B" w:rsidRPr="00442AC3" w:rsidRDefault="0069045B" w:rsidP="0069045B">
      <w:pPr>
        <w:suppressAutoHyphens w:val="0"/>
        <w:autoSpaceDE w:val="0"/>
        <w:adjustRightInd w:val="0"/>
        <w:rPr>
          <w:rFonts w:asciiTheme="majorHAnsi" w:hAnsiTheme="majorHAnsi"/>
          <w:color w:val="000000"/>
          <w:sz w:val="22"/>
          <w:szCs w:val="22"/>
          <w:lang w:eastAsia="pl-PL"/>
        </w:rPr>
      </w:pPr>
      <w:r w:rsidRPr="00442AC3">
        <w:rPr>
          <w:rFonts w:asciiTheme="majorHAnsi" w:hAnsiTheme="majorHAnsi"/>
          <w:color w:val="000000"/>
          <w:sz w:val="22"/>
          <w:szCs w:val="22"/>
          <w:lang w:eastAsia="pl-PL"/>
        </w:rPr>
        <w:t>Oprawa ewakuacyjna LED, naścienna, jednostronna, z piktogramem, IP40, dwuzadaniowa, z funkcją autotest wykonującą test funkcjonalny co 28 dni i autonomiczny co 6 miesięcy, wyposażona w akumulator NiMH 7,2V 0,75Ah z czasem ładowania 12h (dla autonomii 1h) i regulowanym czasem autonomii: 1 lub 3h, wielokolorowa dioda LED sygnalizująca stan pracy oprawy (ładowanie, błąd baterii lub źródła światła, praca bez błędów), pobór mocy 2,6W, obudowa wykonana z profilu aluminiowego, ekran wykonany z przezroczystej metakrylowej płytki do przytwierdzania piktogramów, widzialność 20m, świadectwo CNBOP, zgodność z normami EN 60598-1, EN 60598-2,-2, EN 60598-2-22, UNI-EN 1838, UNI 11222, DIN 4844-1, np. 19319 INDICA LED SF20M AT z piktogramem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b/>
          <w:sz w:val="22"/>
          <w:szCs w:val="22"/>
        </w:rPr>
      </w:pPr>
      <w:r w:rsidRPr="00442AC3">
        <w:rPr>
          <w:rFonts w:asciiTheme="majorHAnsi" w:hAnsiTheme="majorHAnsi"/>
          <w:b/>
          <w:sz w:val="22"/>
          <w:szCs w:val="22"/>
        </w:rPr>
        <w:t>AW1</w:t>
      </w:r>
    </w:p>
    <w:p w:rsidR="0069045B" w:rsidRPr="00442AC3" w:rsidRDefault="0069045B" w:rsidP="0069045B">
      <w:pPr>
        <w:suppressAutoHyphens w:val="0"/>
        <w:autoSpaceDE w:val="0"/>
        <w:adjustRightInd w:val="0"/>
        <w:rPr>
          <w:rFonts w:asciiTheme="majorHAnsi" w:hAnsiTheme="majorHAnsi"/>
          <w:color w:val="000000"/>
          <w:sz w:val="22"/>
          <w:szCs w:val="22"/>
          <w:lang w:val="en-US" w:eastAsia="pl-PL"/>
        </w:rPr>
      </w:pPr>
      <w:r w:rsidRPr="00442AC3">
        <w:rPr>
          <w:rFonts w:asciiTheme="majorHAnsi" w:hAnsiTheme="majorHAnsi"/>
          <w:color w:val="000000"/>
          <w:sz w:val="22"/>
          <w:szCs w:val="22"/>
          <w:lang w:eastAsia="pl-PL"/>
        </w:rPr>
        <w:t xml:space="preserve">Oprawa awaryjna LED do montażu w stropie podwieszonym, IP42, IK07, dwuzadaniowa z możliwością wyboru pracy jedno- i dwuzadaniowej, z funkcją autotest wykonującą test funkcjonalny co 28 dni i autonomiczny co 6 miesięcy, wyposażona w akumulator NiMH 7,2V 1,2Ah z czasem ładowania 12h (dla autonomii 1h) i regulowanym czasem autonomii: 1 lub 3h, wielokolorowa dioda LED sygnalizująca stan pracy oprawy (ładowanie, błąd baterii lub źródła światła, praca bez błędów), pobór mocy maks. 6,5W, dioda LED o mocy 2W i T=4000K, przystosowana do nakładania soczewek, obudowa oprawy rozdzielona na dwie części: część z zespołem optycznym wykonana z samogasnacego materiału termoplastycznego, część z modułem awaryjnym wykonana z białej blachy stalowej i stopniem ochrony IP20, moduł awaryjny składający się z ładowarki, źródła prądu stałego i jednostki kontrolującej z dodatkowymi przełącznikami i zworkami do ustawiania autonomii i pracy jedno- i dwuzadaniowej, przełączanie w tryb awaryjny &lt;300msek, soczewka uniwersalna: do oświetlenia dróg ewakuacyjnych lub stref otwartych o wysokości &lt;=7m, dająca strumień 181lm (dla 1h), świadectwo CNBOP, zgodność z normami EN 60598-1, EN 60598-2-2, EN 60598-2-22, UNI-EN 1838, UNI 11222, EN62471, 2006/95/CE; 2004/108, np. </w:t>
      </w:r>
      <w:r w:rsidRPr="00442AC3">
        <w:rPr>
          <w:rFonts w:asciiTheme="majorHAnsi" w:hAnsiTheme="majorHAnsi"/>
          <w:color w:val="000000"/>
          <w:sz w:val="22"/>
          <w:szCs w:val="22"/>
          <w:lang w:val="en-US" w:eastAsia="pl-PL"/>
        </w:rPr>
        <w:t>NB16748 LUNGALARGALUCE LED DWRC SY AT SE/SA 1/3N (7m)</w:t>
      </w:r>
    </w:p>
    <w:p w:rsidR="0069045B" w:rsidRPr="00442AC3" w:rsidRDefault="0069045B" w:rsidP="00312741">
      <w:pPr>
        <w:pStyle w:val="Nagwek2"/>
        <w:numPr>
          <w:ilvl w:val="0"/>
          <w:numId w:val="6"/>
        </w:numPr>
        <w:spacing w:before="240" w:line="240" w:lineRule="auto"/>
        <w:ind w:left="1134"/>
        <w:rPr>
          <w:rFonts w:asciiTheme="majorHAnsi" w:hAnsiTheme="majorHAnsi"/>
          <w:sz w:val="22"/>
          <w:szCs w:val="22"/>
        </w:rPr>
      </w:pPr>
      <w:bookmarkStart w:id="26" w:name="_Toc341601891"/>
      <w:bookmarkStart w:id="27" w:name="_Toc341606712"/>
      <w:bookmarkStart w:id="28" w:name="_Toc345410519"/>
      <w:bookmarkStart w:id="29" w:name="_Toc497921206"/>
      <w:r w:rsidRPr="00442AC3">
        <w:rPr>
          <w:rFonts w:asciiTheme="majorHAnsi" w:hAnsiTheme="majorHAnsi"/>
          <w:sz w:val="22"/>
          <w:szCs w:val="22"/>
        </w:rPr>
        <w:t xml:space="preserve">INSTALACJA </w:t>
      </w:r>
      <w:bookmarkEnd w:id="26"/>
      <w:bookmarkEnd w:id="27"/>
      <w:bookmarkEnd w:id="28"/>
      <w:r w:rsidRPr="00442AC3">
        <w:rPr>
          <w:rFonts w:asciiTheme="majorHAnsi" w:hAnsiTheme="majorHAnsi"/>
          <w:sz w:val="22"/>
          <w:szCs w:val="22"/>
        </w:rPr>
        <w:t>SYGNALIZACJI AWARYJNEJ - PRZYWOŁAWCZEJ</w:t>
      </w:r>
      <w:bookmarkEnd w:id="29"/>
      <w:r w:rsidRPr="00442AC3">
        <w:rPr>
          <w:rFonts w:asciiTheme="majorHAnsi" w:hAnsiTheme="majorHAnsi"/>
          <w:sz w:val="22"/>
          <w:szCs w:val="22"/>
        </w:rPr>
        <w:t xml:space="preserve"> 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Projektowana toaleta jest dostosowana dla osób niepełnosprawnych. W toalecie przewidziano zabudowanie zestawu sygnalizacji awaryjnej umożliwia wyzwalanie i realizację alarmów celem uzyskania pomocy w nagłych wypadkach. 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Uruchomienie wyłącznika pociąganego w nagłych wypadkach powoduje zaświecenie się czerwonego sygnału świetlnego na zewnątrz pomieszczenia oraz sygnał dźwiękowy. 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Zestaw sygnalizacji awaryjnej jest wyposażony w przyciski przywoływania (linkowe) oraz przycisk anulowania alarmu. 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Sygnał alarmowy uruchamiany jest za pomocą łącznika pociąganego, znajdującego się obok WC. Na wypadek upadku należy zainstalować go w taki sposób, aby sznur był dostępny również w pozycji leżącej. Nagły przypadek sygnalizowany jest na korytarzu za pomocą sygnałów optycznych i akustycznych lampki alarmowej. Alarm wyłącza się przyciskiem kasowania, znajdującym się obok drzwi WC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Poniżej przedstawiono schemat instalacji: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noProof/>
          <w:sz w:val="22"/>
          <w:szCs w:val="22"/>
          <w:lang w:eastAsia="pl-PL"/>
        </w:rPr>
        <w:lastRenderedPageBreak/>
        <w:drawing>
          <wp:inline distT="0" distB="0" distL="0" distR="0">
            <wp:extent cx="3200400" cy="2913380"/>
            <wp:effectExtent l="19050" t="0" r="0" b="0"/>
            <wp:docPr id="13" name="Obraz 13" descr="Bez tytuł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ez tytuł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1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45B" w:rsidRPr="00442AC3" w:rsidRDefault="0069045B" w:rsidP="0069045B">
      <w:pPr>
        <w:autoSpaceDE w:val="0"/>
        <w:adjustRightInd w:val="0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69045B">
      <w:pPr>
        <w:autoSpaceDE w:val="0"/>
        <w:adjustRightInd w:val="0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</w:p>
    <w:p w:rsidR="0069045B" w:rsidRPr="00442AC3" w:rsidRDefault="0069045B" w:rsidP="00312741">
      <w:pPr>
        <w:pStyle w:val="Nagwek2"/>
        <w:numPr>
          <w:ilvl w:val="0"/>
          <w:numId w:val="6"/>
        </w:numPr>
        <w:spacing w:before="240" w:line="240" w:lineRule="auto"/>
        <w:ind w:left="1134"/>
        <w:rPr>
          <w:rFonts w:asciiTheme="majorHAnsi" w:hAnsiTheme="majorHAnsi" w:cs="Times New Roman"/>
          <w:sz w:val="22"/>
          <w:szCs w:val="22"/>
        </w:rPr>
      </w:pPr>
      <w:bookmarkStart w:id="30" w:name="_Toc158121726"/>
      <w:bookmarkStart w:id="31" w:name="_Toc341601897"/>
      <w:bookmarkStart w:id="32" w:name="_Toc341606718"/>
      <w:bookmarkStart w:id="33" w:name="_Toc345410525"/>
      <w:bookmarkStart w:id="34" w:name="_Toc497921207"/>
      <w:r w:rsidRPr="00442AC3">
        <w:rPr>
          <w:rFonts w:asciiTheme="majorHAnsi" w:hAnsiTheme="majorHAnsi" w:cs="Times New Roman"/>
          <w:sz w:val="22"/>
          <w:szCs w:val="22"/>
        </w:rPr>
        <w:t>OCHRONA PRZECIWPORAŻENIOWA.</w:t>
      </w:r>
      <w:bookmarkEnd w:id="30"/>
      <w:bookmarkEnd w:id="31"/>
      <w:bookmarkEnd w:id="32"/>
      <w:bookmarkEnd w:id="33"/>
      <w:bookmarkEnd w:id="34"/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 xml:space="preserve">Podstawową ochronę przeciwporażeniową zapewnia izolacja zastosowanych przewodów, obudów urządzeń i aparatów oraz połączenie metalowych elementów, dostępnych za pośrednictwem instalacji połączeń wyrównawczych z uziemieniem budynku. </w:t>
      </w:r>
    </w:p>
    <w:p w:rsidR="0069045B" w:rsidRPr="00442AC3" w:rsidRDefault="0069045B" w:rsidP="0069045B">
      <w:pPr>
        <w:autoSpaceDE w:val="0"/>
        <w:adjustRightInd w:val="0"/>
        <w:ind w:firstLine="426"/>
        <w:jc w:val="both"/>
        <w:rPr>
          <w:rFonts w:asciiTheme="majorHAnsi" w:hAnsiTheme="majorHAnsi"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>Ochrona przeciwporażeniowa w przypadku uszkodzenia realizowana jest przez samoczynne wyłączenie zasilania. Ochronę należy wykonać zgodnie z  PN-HD 60364-4-41 z listopada 2009. Należy przestrzegać okresowego sprawdzania poprawności działania wyłączników różnicowoprądowych.</w:t>
      </w:r>
    </w:p>
    <w:p w:rsidR="0069045B" w:rsidRPr="00442AC3" w:rsidRDefault="0069045B" w:rsidP="009E0267">
      <w:pPr>
        <w:pStyle w:val="Nagwek2"/>
        <w:numPr>
          <w:ilvl w:val="0"/>
          <w:numId w:val="6"/>
        </w:numPr>
        <w:spacing w:before="240" w:line="240" w:lineRule="auto"/>
        <w:rPr>
          <w:rFonts w:asciiTheme="majorHAnsi" w:hAnsiTheme="majorHAnsi" w:cs="Times New Roman"/>
          <w:sz w:val="22"/>
          <w:szCs w:val="22"/>
        </w:rPr>
      </w:pPr>
      <w:bookmarkStart w:id="35" w:name="_Toc341601898"/>
      <w:bookmarkStart w:id="36" w:name="_Toc341606719"/>
      <w:bookmarkStart w:id="37" w:name="_Toc345410526"/>
      <w:bookmarkStart w:id="38" w:name="_Toc497921208"/>
      <w:r w:rsidRPr="00442AC3">
        <w:rPr>
          <w:rFonts w:asciiTheme="majorHAnsi" w:hAnsiTheme="majorHAnsi" w:cs="Times New Roman"/>
          <w:sz w:val="22"/>
          <w:szCs w:val="22"/>
        </w:rPr>
        <w:t>UWAGI KOŃCOWE.</w:t>
      </w:r>
      <w:bookmarkEnd w:id="35"/>
      <w:bookmarkEnd w:id="36"/>
      <w:bookmarkEnd w:id="37"/>
      <w:bookmarkEnd w:id="38"/>
    </w:p>
    <w:p w:rsidR="0069045B" w:rsidRPr="00442AC3" w:rsidRDefault="0069045B" w:rsidP="0069045B">
      <w:pPr>
        <w:jc w:val="both"/>
        <w:rPr>
          <w:rFonts w:asciiTheme="majorHAnsi" w:hAnsiTheme="majorHAnsi"/>
          <w:sz w:val="22"/>
          <w:szCs w:val="22"/>
        </w:rPr>
      </w:pPr>
      <w:bookmarkStart w:id="39" w:name="_Toc340665810"/>
      <w:bookmarkStart w:id="40" w:name="_Toc340666356"/>
      <w:bookmarkStart w:id="41" w:name="_Toc340766448"/>
      <w:bookmarkStart w:id="42" w:name="_Toc343022051"/>
      <w:bookmarkStart w:id="43" w:name="_Toc343791338"/>
      <w:bookmarkStart w:id="44" w:name="_Toc350848940"/>
      <w:bookmarkStart w:id="45" w:name="_Toc350848972"/>
      <w:r w:rsidRPr="00442AC3">
        <w:rPr>
          <w:rFonts w:asciiTheme="majorHAnsi" w:hAnsiTheme="majorHAnsi"/>
          <w:sz w:val="22"/>
          <w:szCs w:val="22"/>
        </w:rPr>
        <w:tab/>
        <w:t>Przed rozpoczęciem robót elektrycznych Wykonawca powinien zapoznać się z obiektem, w którym prowadzone będą roboty, celem stwierdzenia odpowiedniego przygotowania frontu robót.</w:t>
      </w:r>
    </w:p>
    <w:p w:rsidR="0069045B" w:rsidRPr="00442AC3" w:rsidRDefault="0069045B" w:rsidP="0069045B">
      <w:pPr>
        <w:jc w:val="both"/>
        <w:rPr>
          <w:rFonts w:asciiTheme="majorHAnsi" w:hAnsiTheme="majorHAnsi"/>
          <w:b/>
          <w:sz w:val="22"/>
          <w:szCs w:val="22"/>
        </w:rPr>
      </w:pPr>
      <w:r w:rsidRPr="00442AC3">
        <w:rPr>
          <w:rFonts w:asciiTheme="majorHAnsi" w:hAnsiTheme="majorHAnsi"/>
          <w:sz w:val="22"/>
          <w:szCs w:val="22"/>
        </w:rPr>
        <w:tab/>
      </w:r>
      <w:bookmarkEnd w:id="39"/>
      <w:bookmarkEnd w:id="40"/>
      <w:bookmarkEnd w:id="41"/>
      <w:bookmarkEnd w:id="42"/>
      <w:bookmarkEnd w:id="43"/>
      <w:bookmarkEnd w:id="44"/>
      <w:bookmarkEnd w:id="45"/>
    </w:p>
    <w:p w:rsidR="00763ABC" w:rsidRPr="002A22F6" w:rsidRDefault="00763ABC" w:rsidP="00763ABC">
      <w:pPr>
        <w:jc w:val="both"/>
        <w:rPr>
          <w:rFonts w:asciiTheme="majorHAnsi" w:hAnsiTheme="majorHAnsi" w:cs="Arial"/>
          <w:sz w:val="22"/>
          <w:szCs w:val="22"/>
        </w:rPr>
      </w:pPr>
    </w:p>
    <w:p w:rsidR="00763ABC" w:rsidRPr="002A22F6" w:rsidRDefault="00763ABC" w:rsidP="00763ABC">
      <w:pPr>
        <w:jc w:val="both"/>
        <w:rPr>
          <w:rFonts w:asciiTheme="majorHAnsi" w:hAnsiTheme="majorHAnsi" w:cs="Arial"/>
          <w:sz w:val="22"/>
          <w:szCs w:val="22"/>
        </w:rPr>
      </w:pPr>
    </w:p>
    <w:p w:rsidR="003F3844" w:rsidRPr="002A22F6" w:rsidRDefault="003F3844" w:rsidP="00763ABC">
      <w:pPr>
        <w:jc w:val="both"/>
        <w:rPr>
          <w:rFonts w:asciiTheme="majorHAnsi" w:hAnsiTheme="majorHAnsi" w:cs="Arial"/>
          <w:sz w:val="22"/>
          <w:szCs w:val="22"/>
        </w:rPr>
      </w:pPr>
    </w:p>
    <w:p w:rsidR="00763ABC" w:rsidRPr="002A22F6" w:rsidRDefault="00763ABC" w:rsidP="00763ABC">
      <w:pPr>
        <w:jc w:val="both"/>
        <w:rPr>
          <w:rFonts w:asciiTheme="majorHAnsi" w:hAnsiTheme="majorHAnsi" w:cs="Arial"/>
          <w:sz w:val="22"/>
          <w:szCs w:val="22"/>
        </w:rPr>
      </w:pPr>
    </w:p>
    <w:p w:rsidR="003F3844" w:rsidRPr="002A22F6" w:rsidRDefault="003F3844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A02F78">
      <w:pPr>
        <w:pStyle w:val="Akapitzlist"/>
        <w:numPr>
          <w:ilvl w:val="0"/>
          <w:numId w:val="6"/>
        </w:numPr>
        <w:jc w:val="both"/>
        <w:rPr>
          <w:rFonts w:asciiTheme="majorHAnsi" w:hAnsiTheme="majorHAnsi" w:cs="Arial"/>
          <w:sz w:val="32"/>
          <w:szCs w:val="32"/>
        </w:rPr>
      </w:pPr>
      <w:r w:rsidRPr="002A22F6">
        <w:rPr>
          <w:rFonts w:asciiTheme="majorHAnsi" w:hAnsiTheme="majorHAnsi" w:cs="Arial"/>
          <w:sz w:val="32"/>
          <w:szCs w:val="32"/>
        </w:rPr>
        <w:t>Dokumentacja rysunkowa</w:t>
      </w:r>
    </w:p>
    <w:p w:rsidR="001B185E" w:rsidRPr="001B185E" w:rsidRDefault="00C427E1" w:rsidP="001B185E">
      <w:pPr>
        <w:pStyle w:val="Akapitzlist"/>
        <w:numPr>
          <w:ilvl w:val="0"/>
          <w:numId w:val="27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E1</w:t>
      </w:r>
      <w:r w:rsidR="001B185E" w:rsidRPr="001B185E">
        <w:rPr>
          <w:rFonts w:asciiTheme="majorHAnsi" w:hAnsiTheme="majorHAnsi" w:cs="Arial"/>
          <w:smallCaps/>
        </w:rPr>
        <w:t xml:space="preserve"> - Sanitariat w piwnicy </w:t>
      </w:r>
    </w:p>
    <w:p w:rsidR="001B185E" w:rsidRPr="001B185E" w:rsidRDefault="00C427E1" w:rsidP="001B185E">
      <w:pPr>
        <w:pStyle w:val="Akapitzlist"/>
        <w:numPr>
          <w:ilvl w:val="0"/>
          <w:numId w:val="27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E2</w:t>
      </w:r>
      <w:r w:rsidR="001B185E" w:rsidRPr="001B185E">
        <w:rPr>
          <w:rFonts w:asciiTheme="majorHAnsi" w:hAnsiTheme="majorHAnsi" w:cs="Arial"/>
          <w:smallCaps/>
        </w:rPr>
        <w:t xml:space="preserve"> - Sanitariat na parterze </w:t>
      </w:r>
    </w:p>
    <w:p w:rsidR="001B185E" w:rsidRPr="001B185E" w:rsidRDefault="00C427E1" w:rsidP="001B185E">
      <w:pPr>
        <w:pStyle w:val="Akapitzlist"/>
        <w:numPr>
          <w:ilvl w:val="0"/>
          <w:numId w:val="27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E3</w:t>
      </w:r>
      <w:r w:rsidR="001B185E" w:rsidRPr="001B185E">
        <w:rPr>
          <w:rFonts w:asciiTheme="majorHAnsi" w:hAnsiTheme="majorHAnsi" w:cs="Arial"/>
          <w:smallCaps/>
        </w:rPr>
        <w:t xml:space="preserve"> - Sanitariat na I piętrze </w:t>
      </w:r>
    </w:p>
    <w:p w:rsidR="001B185E" w:rsidRPr="001B185E" w:rsidRDefault="00C427E1" w:rsidP="001B185E">
      <w:pPr>
        <w:pStyle w:val="Akapitzlist"/>
        <w:numPr>
          <w:ilvl w:val="0"/>
          <w:numId w:val="27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E4</w:t>
      </w:r>
      <w:r w:rsidR="001B185E" w:rsidRPr="001B185E">
        <w:rPr>
          <w:rFonts w:asciiTheme="majorHAnsi" w:hAnsiTheme="majorHAnsi" w:cs="Arial"/>
          <w:smallCaps/>
        </w:rPr>
        <w:t xml:space="preserve"> - Sanitariat na II piętrze </w:t>
      </w:r>
    </w:p>
    <w:p w:rsidR="001B185E" w:rsidRPr="001B185E" w:rsidRDefault="00C427E1" w:rsidP="001B185E">
      <w:pPr>
        <w:pStyle w:val="Akapitzlist"/>
        <w:numPr>
          <w:ilvl w:val="0"/>
          <w:numId w:val="27"/>
        </w:numPr>
        <w:ind w:left="1134"/>
        <w:jc w:val="both"/>
        <w:rPr>
          <w:rFonts w:asciiTheme="majorHAnsi" w:hAnsiTheme="majorHAnsi" w:cs="Arial"/>
          <w:smallCaps/>
        </w:rPr>
      </w:pPr>
      <w:r>
        <w:rPr>
          <w:rFonts w:asciiTheme="majorHAnsi" w:hAnsiTheme="majorHAnsi" w:cs="Arial"/>
          <w:smallCaps/>
        </w:rPr>
        <w:t>Rys. E5</w:t>
      </w:r>
      <w:r w:rsidR="001B185E" w:rsidRPr="001B185E">
        <w:rPr>
          <w:rFonts w:asciiTheme="majorHAnsi" w:hAnsiTheme="majorHAnsi" w:cs="Arial"/>
          <w:smallCaps/>
        </w:rPr>
        <w:t xml:space="preserve"> - Sanitariaty pod salą gimnastyczną </w:t>
      </w: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F50D7A" w:rsidRDefault="00F50D7A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F50D7A" w:rsidRDefault="00F50D7A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F50D7A" w:rsidRDefault="00F50D7A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F50D7A" w:rsidRPr="002A22F6" w:rsidRDefault="00F50D7A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C427E1" w:rsidRDefault="00C427E1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C427E1" w:rsidRDefault="00C427E1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C427E1" w:rsidRDefault="00C427E1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C427E1" w:rsidRDefault="00C427E1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C427E1" w:rsidRDefault="00C427E1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C427E1" w:rsidRDefault="00C427E1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C427E1" w:rsidRDefault="00C427E1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C427E1" w:rsidRDefault="00C427E1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C427E1" w:rsidRDefault="00C427E1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C427E1" w:rsidRDefault="00C427E1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C427E1" w:rsidRDefault="00C427E1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C427E1" w:rsidRPr="002A22F6" w:rsidRDefault="00C427E1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A02F78" w:rsidRPr="002A22F6" w:rsidRDefault="00A02F78" w:rsidP="003F3844">
      <w:pPr>
        <w:jc w:val="both"/>
        <w:rPr>
          <w:rFonts w:asciiTheme="majorHAnsi" w:hAnsiTheme="majorHAnsi" w:cs="Arial"/>
          <w:sz w:val="22"/>
          <w:szCs w:val="22"/>
        </w:rPr>
      </w:pPr>
    </w:p>
    <w:p w:rsidR="00520911" w:rsidRPr="00762251" w:rsidRDefault="00520911" w:rsidP="00520911">
      <w:pPr>
        <w:pStyle w:val="Akapitzlist"/>
        <w:jc w:val="center"/>
        <w:rPr>
          <w:rFonts w:asciiTheme="majorHAnsi" w:hAnsiTheme="majorHAnsi" w:cs="Arial"/>
          <w:b/>
          <w:smallCaps/>
          <w:sz w:val="28"/>
          <w:szCs w:val="28"/>
        </w:rPr>
      </w:pPr>
      <w:r w:rsidRPr="00762251">
        <w:rPr>
          <w:rFonts w:asciiTheme="majorHAnsi" w:hAnsiTheme="majorHAnsi" w:cs="Arial"/>
          <w:b/>
          <w:smallCaps/>
          <w:sz w:val="28"/>
          <w:szCs w:val="28"/>
        </w:rPr>
        <w:lastRenderedPageBreak/>
        <w:t>Informacja dotycząca bezpieczeństwa i ochrony zdrowia (Plan BIOZ)</w:t>
      </w:r>
    </w:p>
    <w:p w:rsidR="00520911" w:rsidRPr="00762251" w:rsidRDefault="00520911" w:rsidP="00520911">
      <w:pPr>
        <w:jc w:val="both"/>
        <w:rPr>
          <w:rFonts w:asciiTheme="majorHAnsi" w:hAnsiTheme="majorHAnsi" w:cs="Arial"/>
          <w:sz w:val="22"/>
          <w:szCs w:val="22"/>
        </w:rPr>
      </w:pPr>
    </w:p>
    <w:p w:rsidR="00520911" w:rsidRPr="00762251" w:rsidRDefault="00520911" w:rsidP="00520911">
      <w:pPr>
        <w:jc w:val="both"/>
        <w:rPr>
          <w:rFonts w:asciiTheme="majorHAnsi" w:hAnsiTheme="majorHAnsi" w:cs="Arial"/>
          <w:sz w:val="22"/>
          <w:szCs w:val="22"/>
        </w:rPr>
      </w:pPr>
    </w:p>
    <w:p w:rsidR="00520911" w:rsidRPr="00762251" w:rsidRDefault="00520911" w:rsidP="00520911">
      <w:pPr>
        <w:jc w:val="both"/>
        <w:rPr>
          <w:rFonts w:asciiTheme="majorHAnsi" w:hAnsiTheme="majorHAnsi"/>
          <w:b/>
          <w:sz w:val="22"/>
          <w:szCs w:val="22"/>
        </w:rPr>
      </w:pPr>
    </w:p>
    <w:p w:rsidR="00520911" w:rsidRPr="00762251" w:rsidRDefault="00520911" w:rsidP="00520911">
      <w:pPr>
        <w:numPr>
          <w:ilvl w:val="0"/>
          <w:numId w:val="35"/>
        </w:numPr>
        <w:tabs>
          <w:tab w:val="clear" w:pos="720"/>
          <w:tab w:val="num" w:pos="567"/>
        </w:tabs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ab/>
        <w:t>Zakres robót dla całego zamierzenia budowlanego i kolejność realizacji  poszczególnych obiektów.</w:t>
      </w:r>
    </w:p>
    <w:p w:rsidR="00520911" w:rsidRPr="00762251" w:rsidRDefault="00520911" w:rsidP="00520911">
      <w:pPr>
        <w:numPr>
          <w:ilvl w:val="0"/>
          <w:numId w:val="35"/>
        </w:numPr>
        <w:tabs>
          <w:tab w:val="clear" w:pos="720"/>
          <w:tab w:val="num" w:pos="567"/>
        </w:tabs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 </w:t>
      </w:r>
      <w:r w:rsidRPr="00762251">
        <w:rPr>
          <w:rFonts w:asciiTheme="majorHAnsi" w:hAnsiTheme="majorHAnsi"/>
          <w:sz w:val="22"/>
          <w:szCs w:val="22"/>
        </w:rPr>
        <w:tab/>
        <w:t>Wykaz istniejących obiektów budowlanych.</w:t>
      </w:r>
    </w:p>
    <w:p w:rsidR="00520911" w:rsidRPr="00762251" w:rsidRDefault="00520911" w:rsidP="00520911">
      <w:pPr>
        <w:numPr>
          <w:ilvl w:val="0"/>
          <w:numId w:val="35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 Elementy zagospodarowania działki lub terenu, które mogą stwarzać zagrożenie dla bezpieczeństwa i zdrowia ludzi.</w:t>
      </w:r>
    </w:p>
    <w:p w:rsidR="00520911" w:rsidRPr="00762251" w:rsidRDefault="00520911" w:rsidP="00520911">
      <w:pPr>
        <w:numPr>
          <w:ilvl w:val="0"/>
          <w:numId w:val="35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 Przewidywane zagrożenia występujące podczas realizacji robót budowlanych, skala i rodzaje zagrożeń oraz miejsce i czas ich wystąpienia.</w:t>
      </w:r>
    </w:p>
    <w:p w:rsidR="00520911" w:rsidRPr="00762251" w:rsidRDefault="00520911" w:rsidP="00520911">
      <w:pPr>
        <w:numPr>
          <w:ilvl w:val="0"/>
          <w:numId w:val="35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 Sposób prowadzenia instruktażu pracowników przed przystąpieniem do realizacji robót szczególnie niebezpiecznych.</w:t>
      </w:r>
    </w:p>
    <w:p w:rsidR="00520911" w:rsidRPr="00762251" w:rsidRDefault="00520911" w:rsidP="00520911">
      <w:pPr>
        <w:numPr>
          <w:ilvl w:val="0"/>
          <w:numId w:val="35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 Środki techniczne i organizacyjne, zapobiegające niebezpieczeństwom wynikającym z wykonywania robót w strefach szczególnego zagrożenia zdrowia lub ich sąsiedztwie, w tym zapewniające bezpieczną i sprawną komunikację, umożliwiającą szybką ewakuację na wypadek pożaru, awarii i innych zagrożeń.</w:t>
      </w:r>
    </w:p>
    <w:p w:rsidR="00520911" w:rsidRPr="00762251" w:rsidRDefault="00520911" w:rsidP="00520911">
      <w:pPr>
        <w:pStyle w:val="Nagwek2"/>
        <w:numPr>
          <w:ilvl w:val="1"/>
          <w:numId w:val="37"/>
        </w:numPr>
        <w:spacing w:before="240" w:line="240" w:lineRule="auto"/>
        <w:rPr>
          <w:rFonts w:asciiTheme="majorHAnsi" w:hAnsiTheme="majorHAnsi" w:cs="Times New Roman"/>
          <w:sz w:val="22"/>
          <w:szCs w:val="22"/>
        </w:rPr>
      </w:pPr>
      <w:bookmarkStart w:id="46" w:name="_Toc350848942"/>
      <w:bookmarkStart w:id="47" w:name="_Toc350848974"/>
      <w:bookmarkStart w:id="48" w:name="_Toc497921211"/>
      <w:r w:rsidRPr="00762251">
        <w:rPr>
          <w:rFonts w:asciiTheme="majorHAnsi" w:hAnsiTheme="majorHAnsi" w:cs="Times New Roman"/>
          <w:sz w:val="22"/>
          <w:szCs w:val="22"/>
        </w:rPr>
        <w:t>Zakres robót.</w:t>
      </w:r>
      <w:bookmarkEnd w:id="46"/>
      <w:bookmarkEnd w:id="47"/>
      <w:bookmarkEnd w:id="48"/>
    </w:p>
    <w:p w:rsidR="00520911" w:rsidRPr="00762251" w:rsidRDefault="00520911" w:rsidP="00520911">
      <w:pPr>
        <w:tabs>
          <w:tab w:val="num" w:pos="0"/>
        </w:tabs>
        <w:ind w:left="708" w:firstLine="426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Przewiduje się wykonywanie prac budowlanych, konstrukcyjnych, instalacji wod-kan oraz instalacji oświetlenia i sygnalizacji. </w:t>
      </w:r>
    </w:p>
    <w:p w:rsidR="00520911" w:rsidRPr="00762251" w:rsidRDefault="00520911" w:rsidP="00520911">
      <w:pPr>
        <w:pStyle w:val="Nagwek2"/>
        <w:numPr>
          <w:ilvl w:val="1"/>
          <w:numId w:val="37"/>
        </w:numPr>
        <w:spacing w:before="240" w:line="240" w:lineRule="auto"/>
        <w:rPr>
          <w:rFonts w:asciiTheme="majorHAnsi" w:hAnsiTheme="majorHAnsi" w:cs="Times New Roman"/>
          <w:sz w:val="22"/>
          <w:szCs w:val="22"/>
        </w:rPr>
      </w:pPr>
      <w:bookmarkStart w:id="49" w:name="_Toc350848943"/>
      <w:bookmarkStart w:id="50" w:name="_Toc350848975"/>
      <w:bookmarkStart w:id="51" w:name="_Toc497921212"/>
      <w:r w:rsidRPr="00762251">
        <w:rPr>
          <w:rFonts w:asciiTheme="majorHAnsi" w:hAnsiTheme="majorHAnsi" w:cs="Times New Roman"/>
          <w:sz w:val="22"/>
          <w:szCs w:val="22"/>
        </w:rPr>
        <w:t>Wykaz istniejących obiektów budowlanych.</w:t>
      </w:r>
      <w:bookmarkEnd w:id="49"/>
      <w:bookmarkEnd w:id="50"/>
      <w:bookmarkEnd w:id="51"/>
    </w:p>
    <w:p w:rsidR="00520911" w:rsidRPr="00762251" w:rsidRDefault="00520911" w:rsidP="00520911">
      <w:pPr>
        <w:tabs>
          <w:tab w:val="num" w:pos="0"/>
        </w:tabs>
        <w:ind w:left="708" w:firstLine="426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Prace wykonywane będą w rejonie czynnej infrastruktury sieciowej wewnątrz budynku. </w:t>
      </w:r>
      <w:bookmarkStart w:id="52" w:name="_Toc350848944"/>
      <w:bookmarkStart w:id="53" w:name="_Toc350848976"/>
    </w:p>
    <w:p w:rsidR="00520911" w:rsidRPr="00762251" w:rsidRDefault="00520911" w:rsidP="00520911">
      <w:pPr>
        <w:tabs>
          <w:tab w:val="num" w:pos="0"/>
        </w:tabs>
        <w:ind w:left="708" w:firstLine="426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Wskazanie elementów zagospodarowania działki, które mogą stwarzać zagrożenie bezpieczeństwa i zdrowia ludzi.</w:t>
      </w:r>
      <w:bookmarkEnd w:id="52"/>
      <w:bookmarkEnd w:id="53"/>
      <w:r w:rsidRPr="00762251">
        <w:rPr>
          <w:rFonts w:asciiTheme="majorHAnsi" w:hAnsiTheme="majorHAnsi"/>
          <w:sz w:val="22"/>
          <w:szCs w:val="22"/>
        </w:rPr>
        <w:t xml:space="preserve"> 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Głównym elementem zagospodarowania działki stwarzającym zagrożenie zarówno dla pracowników budowy jak i osób postronnych jest czynna infrastruktura techniczna. Teren budowy należy wygrodzić zachowując szczególną staranność, tak aby uniemożliwić dostęp osób postronnych. </w:t>
      </w:r>
    </w:p>
    <w:p w:rsidR="00520911" w:rsidRPr="00762251" w:rsidRDefault="00520911" w:rsidP="00520911">
      <w:pPr>
        <w:pStyle w:val="Nagwek2"/>
        <w:numPr>
          <w:ilvl w:val="1"/>
          <w:numId w:val="37"/>
        </w:numPr>
        <w:spacing w:before="240" w:line="240" w:lineRule="auto"/>
        <w:rPr>
          <w:rFonts w:asciiTheme="majorHAnsi" w:hAnsiTheme="majorHAnsi" w:cs="Times New Roman"/>
          <w:sz w:val="22"/>
          <w:szCs w:val="22"/>
        </w:rPr>
      </w:pPr>
      <w:bookmarkStart w:id="54" w:name="_Toc350848945"/>
      <w:bookmarkStart w:id="55" w:name="_Toc350848977"/>
      <w:bookmarkStart w:id="56" w:name="_Toc497921213"/>
      <w:r w:rsidRPr="00762251">
        <w:rPr>
          <w:rFonts w:asciiTheme="majorHAnsi" w:hAnsiTheme="majorHAnsi" w:cs="Times New Roman"/>
          <w:sz w:val="22"/>
          <w:szCs w:val="22"/>
        </w:rPr>
        <w:t>Wskazanie dotyczące przewidywanych zagrożeń występujących podczas realizacji robót budowlanych.</w:t>
      </w:r>
      <w:bookmarkEnd w:id="54"/>
      <w:bookmarkEnd w:id="55"/>
      <w:bookmarkEnd w:id="56"/>
      <w:r w:rsidRPr="00762251">
        <w:rPr>
          <w:rFonts w:asciiTheme="majorHAnsi" w:hAnsiTheme="majorHAnsi" w:cs="Times New Roman"/>
          <w:sz w:val="22"/>
          <w:szCs w:val="22"/>
        </w:rPr>
        <w:t xml:space="preserve">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Prace na wysokości z rusztowań przy instalacjach.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Prace transportowe wykonywane na placu budowy.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Prace pomiarowe i rozruchowe przy napięciach niebezpiecznych dla człowieka.</w:t>
      </w:r>
    </w:p>
    <w:p w:rsidR="00520911" w:rsidRPr="00762251" w:rsidRDefault="00520911" w:rsidP="00520911">
      <w:pPr>
        <w:pStyle w:val="Nagwek2"/>
        <w:numPr>
          <w:ilvl w:val="1"/>
          <w:numId w:val="37"/>
        </w:numPr>
        <w:spacing w:before="240" w:line="240" w:lineRule="auto"/>
        <w:rPr>
          <w:rFonts w:asciiTheme="majorHAnsi" w:hAnsiTheme="majorHAnsi" w:cs="Times New Roman"/>
          <w:sz w:val="22"/>
          <w:szCs w:val="22"/>
        </w:rPr>
      </w:pPr>
      <w:bookmarkStart w:id="57" w:name="_Toc350848946"/>
      <w:bookmarkStart w:id="58" w:name="_Toc350848978"/>
      <w:bookmarkStart w:id="59" w:name="_Toc497921214"/>
      <w:r w:rsidRPr="00762251">
        <w:rPr>
          <w:rFonts w:asciiTheme="majorHAnsi" w:hAnsiTheme="majorHAnsi" w:cs="Times New Roman"/>
          <w:sz w:val="22"/>
          <w:szCs w:val="22"/>
        </w:rPr>
        <w:t>Wskazanie sposobu prowadzenia instruktażu pracowników przed przystąpieniem do realizacji robót szczególnie niebezpiecznych.</w:t>
      </w:r>
      <w:bookmarkEnd w:id="57"/>
      <w:bookmarkEnd w:id="58"/>
      <w:bookmarkEnd w:id="59"/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Pracownicy zatrudnieni przy pracach elektroinstalacyjnych powinni posiadać określone umiejętności pozwalające na wykonywanie prac elektroinstalacyjnych oraz posiadać świadectwa ukończenia okresowych szkoleń w zakresie BHP, postępowania w przypadku pożaru i niesienia pierwszej pomocy. 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Kierownik budowy przed przystąpieniem do pracy powinien zapoznać pracowników z zakresem prac przewidzianych do realizacji na każdym etapie inwestycji.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Kierownik budowy przed przystąpieniem do pracy powinien zapoznać pracowników z drogami ewakuacyjnymi, miejscami w których zgromadzono środki i sprzęt gaśniczy, środki opatrunkowe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Na placu budowy powinny być udostępnione pracownikom do stałego korzystania, aktualne instrukcje bhp dotyczące:</w:t>
      </w:r>
    </w:p>
    <w:p w:rsidR="00520911" w:rsidRPr="00762251" w:rsidRDefault="00520911" w:rsidP="00520911">
      <w:pPr>
        <w:numPr>
          <w:ilvl w:val="0"/>
          <w:numId w:val="36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wykonywania prac związanych z zagrożeniami wypadkowymi lub zagrożeniami  zdrowia pracowników,</w:t>
      </w:r>
    </w:p>
    <w:p w:rsidR="00520911" w:rsidRPr="00762251" w:rsidRDefault="00520911" w:rsidP="00520911">
      <w:pPr>
        <w:numPr>
          <w:ilvl w:val="0"/>
          <w:numId w:val="36"/>
        </w:numPr>
        <w:suppressAutoHyphens w:val="0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udzielania pierwszej pomocy.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lastRenderedPageBreak/>
        <w:t>W/w instrukcje powinny określać czynności do wykonywania przed rozpoczęciem danej pracy, zasady i sposoby bezpiecznego wykonywania danej pracy, czynności do wykonania po jej zakończeniu oraz zasady postępowania w sytuacjach awaryjnych stwarzających zagrożenie dla życia i zdrowia pracowników.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</w:p>
    <w:p w:rsidR="00520911" w:rsidRPr="00762251" w:rsidRDefault="00520911" w:rsidP="00520911">
      <w:pPr>
        <w:pStyle w:val="Nagwek2"/>
        <w:numPr>
          <w:ilvl w:val="1"/>
          <w:numId w:val="37"/>
        </w:numPr>
        <w:spacing w:before="240" w:line="240" w:lineRule="auto"/>
        <w:rPr>
          <w:rFonts w:asciiTheme="majorHAnsi" w:hAnsiTheme="majorHAnsi" w:cs="Times New Roman"/>
          <w:sz w:val="22"/>
          <w:szCs w:val="22"/>
        </w:rPr>
      </w:pPr>
      <w:bookmarkStart w:id="60" w:name="_Toc350848947"/>
      <w:bookmarkStart w:id="61" w:name="_Toc350848979"/>
      <w:bookmarkStart w:id="62" w:name="_Toc497921215"/>
      <w:r w:rsidRPr="00762251">
        <w:rPr>
          <w:rFonts w:asciiTheme="majorHAnsi" w:hAnsiTheme="majorHAnsi" w:cs="Times New Roman"/>
          <w:sz w:val="22"/>
          <w:szCs w:val="22"/>
        </w:rPr>
        <w:t>Wskazanie środków technicznych i organizacyjnych, zapobiegających niebezpieczeństwom wynikającym z wykonywania robót budowlanych w strefach szczególnego zagrożenia zdrowia.</w:t>
      </w:r>
      <w:bookmarkEnd w:id="60"/>
      <w:bookmarkEnd w:id="61"/>
      <w:bookmarkEnd w:id="62"/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Wyznaczenie miejsc magazynowania i składowania materiałów budowlanych ze szczególnym uwzględnieniem materiałów palnych, wybuchowych i niebezpiecznych. 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Wyznaczenie dróg komunikacji i ewakuacyjnych z placu budowy i wnętrza budynku.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Wyznaczenie miejsc, w których zgromadzono środki i sprzęt gaśniczy, środki opatrunkowe.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Zastosowanie ogrodzenia placu budowy zapobiegającego wstępowi osób postronnych w trakcie prowadzenia prac i w dniach wolnych.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Zastosowanie ogrodzenia wykopów, barier na rusztowaniach i dachu budynku lub osobistego sprzętu ochronnego do prac na wysokościach.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Zastosowanie oświetlenia placu budowy i pomieszczeń wewnętrznych zapewniającego bezpieczne warunki pracy.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Zastosowanie podstawowej i dodatkowej ochrony przeciwporażeniowej instalacji elektrycznych placu budowy,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Zapewnienie narzędzi i urządzeń posiadających stosowne atesty i dopuszczenia do prac na placu budowy.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Ograniczenie prac na zewnątrz budynku w trudnych warunkach atmosferycznych. 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Zapewnienie poprawnego oświetlenia miejsc pracy wewnątrz i na zewnątrz budynku.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Wyposażenie pracowników w sprzęt chroniący przed upadkiem z wysokości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>Wykonanie nad przejściami daszków i osłon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W miejscach zagrożonych spadaniem przedmiotów z wysokości, wyznaczyć strefę niebezpieczną, odpowiednio ją ogrodzić i oznakować,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  <w:r w:rsidRPr="00762251">
        <w:rPr>
          <w:rFonts w:asciiTheme="majorHAnsi" w:hAnsiTheme="majorHAnsi"/>
          <w:sz w:val="22"/>
          <w:szCs w:val="22"/>
        </w:rPr>
        <w:t xml:space="preserve">Stosowanie do pionowego transportu materiałów na wysokościach, urządzeń stabilnie i pewnie zamocowanych, a pracownicy obsługujący winni być wyposażeni w środki ochrony indywidualnej (sprzęt chroniący przed upadkiem z wysokości, hełm ochronny). </w:t>
      </w:r>
    </w:p>
    <w:p w:rsidR="00520911" w:rsidRPr="00762251" w:rsidRDefault="00520911" w:rsidP="00520911">
      <w:pPr>
        <w:ind w:left="709" w:firstLine="425"/>
        <w:jc w:val="both"/>
        <w:rPr>
          <w:rFonts w:asciiTheme="majorHAnsi" w:hAnsiTheme="majorHAnsi"/>
          <w:sz w:val="22"/>
          <w:szCs w:val="22"/>
        </w:rPr>
      </w:pPr>
    </w:p>
    <w:p w:rsidR="00520911" w:rsidRPr="00762251" w:rsidRDefault="00520911" w:rsidP="00520911">
      <w:pPr>
        <w:ind w:left="709"/>
        <w:jc w:val="both"/>
        <w:rPr>
          <w:rFonts w:asciiTheme="majorHAnsi" w:hAnsiTheme="majorHAnsi"/>
          <w:b/>
          <w:sz w:val="22"/>
          <w:szCs w:val="22"/>
        </w:rPr>
      </w:pPr>
      <w:r w:rsidRPr="00762251">
        <w:rPr>
          <w:rFonts w:asciiTheme="majorHAnsi" w:hAnsiTheme="majorHAnsi"/>
          <w:b/>
          <w:sz w:val="22"/>
          <w:szCs w:val="22"/>
          <w:u w:val="single"/>
        </w:rPr>
        <w:t>UWAGA</w:t>
      </w:r>
      <w:r w:rsidRPr="00762251">
        <w:rPr>
          <w:rFonts w:asciiTheme="majorHAnsi" w:hAnsiTheme="majorHAnsi"/>
          <w:b/>
          <w:sz w:val="22"/>
          <w:szCs w:val="22"/>
        </w:rPr>
        <w:t xml:space="preserve"> :</w:t>
      </w:r>
      <w:r w:rsidRPr="00762251">
        <w:rPr>
          <w:rFonts w:asciiTheme="majorHAnsi" w:hAnsiTheme="majorHAnsi"/>
          <w:sz w:val="22"/>
          <w:szCs w:val="22"/>
        </w:rPr>
        <w:t xml:space="preserve"> </w:t>
      </w:r>
      <w:r w:rsidRPr="00762251">
        <w:rPr>
          <w:rFonts w:asciiTheme="majorHAnsi" w:hAnsiTheme="majorHAnsi"/>
          <w:b/>
          <w:sz w:val="22"/>
          <w:szCs w:val="22"/>
        </w:rPr>
        <w:t xml:space="preserve">Wszelkie roboty budowlano-montażowe należy prowadzić zgodnie z Rozporządzeniem Ministra Infrastruktury z dnia 06.02.2003r. w sprawie bezpieczeństwa i higieny pracy przy wykonywaniu robót budowlano-montażowych i rozbiórkowych (Dz.U.Nr 47 poz.401), pod nadzorem osoby uprawnionej. </w:t>
      </w:r>
    </w:p>
    <w:p w:rsidR="00520911" w:rsidRPr="00762251" w:rsidRDefault="00520911" w:rsidP="00520911">
      <w:pPr>
        <w:pStyle w:val="Akapitzlist"/>
        <w:jc w:val="center"/>
        <w:rPr>
          <w:rFonts w:asciiTheme="majorHAnsi" w:hAnsiTheme="majorHAnsi" w:cs="Arial"/>
          <w:sz w:val="22"/>
          <w:szCs w:val="22"/>
        </w:rPr>
      </w:pPr>
    </w:p>
    <w:p w:rsidR="0047004C" w:rsidRPr="002A22F6" w:rsidRDefault="0047004C" w:rsidP="00520911">
      <w:pPr>
        <w:pStyle w:val="Akapitzlist"/>
        <w:jc w:val="center"/>
        <w:rPr>
          <w:rFonts w:asciiTheme="majorHAnsi" w:hAnsiTheme="majorHAnsi" w:cs="Arial"/>
          <w:sz w:val="22"/>
          <w:szCs w:val="22"/>
        </w:rPr>
      </w:pPr>
    </w:p>
    <w:sectPr w:rsidR="0047004C" w:rsidRPr="002A22F6" w:rsidSect="00B45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2F6" w:rsidRDefault="002A22F6" w:rsidP="002A6289">
      <w:r>
        <w:separator/>
      </w:r>
    </w:p>
  </w:endnote>
  <w:endnote w:type="continuationSeparator" w:id="1">
    <w:p w:rsidR="002A22F6" w:rsidRDefault="002A22F6" w:rsidP="002A6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2F6" w:rsidRDefault="002A22F6" w:rsidP="002A6289">
      <w:r>
        <w:separator/>
      </w:r>
    </w:p>
  </w:footnote>
  <w:footnote w:type="continuationSeparator" w:id="1">
    <w:p w:rsidR="002A22F6" w:rsidRDefault="002A22F6" w:rsidP="002A6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64A0"/>
    <w:multiLevelType w:val="hybridMultilevel"/>
    <w:tmpl w:val="3E8030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D7546B"/>
    <w:multiLevelType w:val="hybridMultilevel"/>
    <w:tmpl w:val="B67A13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293012E"/>
    <w:multiLevelType w:val="hybridMultilevel"/>
    <w:tmpl w:val="DF94F2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2073B6"/>
    <w:multiLevelType w:val="hybridMultilevel"/>
    <w:tmpl w:val="9B2C6B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550DEE"/>
    <w:multiLevelType w:val="hybridMultilevel"/>
    <w:tmpl w:val="4CB05F76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>
    <w:nsid w:val="0E9F23FC"/>
    <w:multiLevelType w:val="hybridMultilevel"/>
    <w:tmpl w:val="4B9E44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F402F5F"/>
    <w:multiLevelType w:val="hybridMultilevel"/>
    <w:tmpl w:val="09289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90C01"/>
    <w:multiLevelType w:val="multilevel"/>
    <w:tmpl w:val="878EE64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1004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>
    <w:nsid w:val="179143E9"/>
    <w:multiLevelType w:val="hybridMultilevel"/>
    <w:tmpl w:val="18F27C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99108A"/>
    <w:multiLevelType w:val="hybridMultilevel"/>
    <w:tmpl w:val="40766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B1A59"/>
    <w:multiLevelType w:val="hybridMultilevel"/>
    <w:tmpl w:val="F5102D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4A4B11"/>
    <w:multiLevelType w:val="hybridMultilevel"/>
    <w:tmpl w:val="4D4CE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A777FC"/>
    <w:multiLevelType w:val="hybridMultilevel"/>
    <w:tmpl w:val="BC7A2344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4DF2AC8"/>
    <w:multiLevelType w:val="hybridMultilevel"/>
    <w:tmpl w:val="7878EF98"/>
    <w:lvl w:ilvl="0" w:tplc="4B86B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740518">
      <w:numFmt w:val="none"/>
      <w:lvlText w:val=""/>
      <w:lvlJc w:val="left"/>
      <w:pPr>
        <w:tabs>
          <w:tab w:val="num" w:pos="360"/>
        </w:tabs>
      </w:pPr>
    </w:lvl>
    <w:lvl w:ilvl="2" w:tplc="ABD69F2A">
      <w:numFmt w:val="none"/>
      <w:lvlText w:val=""/>
      <w:lvlJc w:val="left"/>
      <w:pPr>
        <w:tabs>
          <w:tab w:val="num" w:pos="360"/>
        </w:tabs>
      </w:pPr>
    </w:lvl>
    <w:lvl w:ilvl="3" w:tplc="9BD0266E">
      <w:numFmt w:val="none"/>
      <w:lvlText w:val=""/>
      <w:lvlJc w:val="left"/>
      <w:pPr>
        <w:tabs>
          <w:tab w:val="num" w:pos="360"/>
        </w:tabs>
      </w:pPr>
    </w:lvl>
    <w:lvl w:ilvl="4" w:tplc="C6CAEF38">
      <w:numFmt w:val="none"/>
      <w:lvlText w:val=""/>
      <w:lvlJc w:val="left"/>
      <w:pPr>
        <w:tabs>
          <w:tab w:val="num" w:pos="360"/>
        </w:tabs>
      </w:pPr>
    </w:lvl>
    <w:lvl w:ilvl="5" w:tplc="ED765F6A">
      <w:numFmt w:val="none"/>
      <w:lvlText w:val=""/>
      <w:lvlJc w:val="left"/>
      <w:pPr>
        <w:tabs>
          <w:tab w:val="num" w:pos="360"/>
        </w:tabs>
      </w:pPr>
    </w:lvl>
    <w:lvl w:ilvl="6" w:tplc="C2DE4C3C">
      <w:numFmt w:val="none"/>
      <w:lvlText w:val=""/>
      <w:lvlJc w:val="left"/>
      <w:pPr>
        <w:tabs>
          <w:tab w:val="num" w:pos="360"/>
        </w:tabs>
      </w:pPr>
    </w:lvl>
    <w:lvl w:ilvl="7" w:tplc="0AD85A56">
      <w:numFmt w:val="none"/>
      <w:lvlText w:val=""/>
      <w:lvlJc w:val="left"/>
      <w:pPr>
        <w:tabs>
          <w:tab w:val="num" w:pos="360"/>
        </w:tabs>
      </w:pPr>
    </w:lvl>
    <w:lvl w:ilvl="8" w:tplc="2560387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CF31E60"/>
    <w:multiLevelType w:val="hybridMultilevel"/>
    <w:tmpl w:val="AED0D8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FCB406B"/>
    <w:multiLevelType w:val="hybridMultilevel"/>
    <w:tmpl w:val="2B4E95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BF5D63"/>
    <w:multiLevelType w:val="hybridMultilevel"/>
    <w:tmpl w:val="F0D2534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2F407CF"/>
    <w:multiLevelType w:val="multilevel"/>
    <w:tmpl w:val="5EBEFD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88" w:hanging="2160"/>
      </w:pPr>
      <w:rPr>
        <w:rFonts w:hint="default"/>
      </w:rPr>
    </w:lvl>
  </w:abstractNum>
  <w:abstractNum w:abstractNumId="18">
    <w:nsid w:val="39E54BC3"/>
    <w:multiLevelType w:val="hybridMultilevel"/>
    <w:tmpl w:val="6AD4B4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4837C5"/>
    <w:multiLevelType w:val="hybridMultilevel"/>
    <w:tmpl w:val="C8C858D2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497249D"/>
    <w:multiLevelType w:val="hybridMultilevel"/>
    <w:tmpl w:val="59ACAA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B6A09"/>
    <w:multiLevelType w:val="hybridMultilevel"/>
    <w:tmpl w:val="BC20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5D2F1D"/>
    <w:multiLevelType w:val="hybridMultilevel"/>
    <w:tmpl w:val="45AE7A1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AC3883"/>
    <w:multiLevelType w:val="hybridMultilevel"/>
    <w:tmpl w:val="685296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3814960"/>
    <w:multiLevelType w:val="hybridMultilevel"/>
    <w:tmpl w:val="7DBAD5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3897039"/>
    <w:multiLevelType w:val="hybridMultilevel"/>
    <w:tmpl w:val="39E6BA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54919E7"/>
    <w:multiLevelType w:val="hybridMultilevel"/>
    <w:tmpl w:val="D0A606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58F0C20"/>
    <w:multiLevelType w:val="hybridMultilevel"/>
    <w:tmpl w:val="62C82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DF742E"/>
    <w:multiLevelType w:val="hybridMultilevel"/>
    <w:tmpl w:val="C41E52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73B4128"/>
    <w:multiLevelType w:val="hybridMultilevel"/>
    <w:tmpl w:val="9500A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761638"/>
    <w:multiLevelType w:val="hybridMultilevel"/>
    <w:tmpl w:val="162CDB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1886BC2"/>
    <w:multiLevelType w:val="hybridMultilevel"/>
    <w:tmpl w:val="5AF01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62289E"/>
    <w:multiLevelType w:val="hybridMultilevel"/>
    <w:tmpl w:val="7D6C05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4617F3"/>
    <w:multiLevelType w:val="hybridMultilevel"/>
    <w:tmpl w:val="C8C858D2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90F3A9E"/>
    <w:multiLevelType w:val="hybridMultilevel"/>
    <w:tmpl w:val="F6B057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E65603B"/>
    <w:multiLevelType w:val="hybridMultilevel"/>
    <w:tmpl w:val="F5E62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4C03147"/>
    <w:multiLevelType w:val="hybridMultilevel"/>
    <w:tmpl w:val="6B94A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D3C55"/>
    <w:multiLevelType w:val="hybridMultilevel"/>
    <w:tmpl w:val="75D29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19"/>
  </w:num>
  <w:num w:numId="4">
    <w:abstractNumId w:val="33"/>
  </w:num>
  <w:num w:numId="5">
    <w:abstractNumId w:val="21"/>
  </w:num>
  <w:num w:numId="6">
    <w:abstractNumId w:val="11"/>
  </w:num>
  <w:num w:numId="7">
    <w:abstractNumId w:val="25"/>
  </w:num>
  <w:num w:numId="8">
    <w:abstractNumId w:val="5"/>
  </w:num>
  <w:num w:numId="9">
    <w:abstractNumId w:val="18"/>
  </w:num>
  <w:num w:numId="10">
    <w:abstractNumId w:val="24"/>
  </w:num>
  <w:num w:numId="11">
    <w:abstractNumId w:val="1"/>
  </w:num>
  <w:num w:numId="12">
    <w:abstractNumId w:val="23"/>
  </w:num>
  <w:num w:numId="13">
    <w:abstractNumId w:val="15"/>
  </w:num>
  <w:num w:numId="14">
    <w:abstractNumId w:val="30"/>
  </w:num>
  <w:num w:numId="15">
    <w:abstractNumId w:val="6"/>
  </w:num>
  <w:num w:numId="16">
    <w:abstractNumId w:val="16"/>
  </w:num>
  <w:num w:numId="17">
    <w:abstractNumId w:val="14"/>
  </w:num>
  <w:num w:numId="18">
    <w:abstractNumId w:val="20"/>
  </w:num>
  <w:num w:numId="19">
    <w:abstractNumId w:val="29"/>
  </w:num>
  <w:num w:numId="20">
    <w:abstractNumId w:val="3"/>
  </w:num>
  <w:num w:numId="21">
    <w:abstractNumId w:val="2"/>
  </w:num>
  <w:num w:numId="22">
    <w:abstractNumId w:val="26"/>
  </w:num>
  <w:num w:numId="23">
    <w:abstractNumId w:val="28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6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13"/>
  </w:num>
  <w:num w:numId="36">
    <w:abstractNumId w:val="4"/>
  </w:num>
  <w:num w:numId="37">
    <w:abstractNumId w:val="17"/>
  </w:num>
  <w:num w:numId="38">
    <w:abstractNumId w:val="37"/>
  </w:num>
  <w:num w:numId="39">
    <w:abstractNumId w:val="10"/>
  </w:num>
  <w:num w:numId="40">
    <w:abstractNumId w:val="0"/>
  </w:num>
  <w:num w:numId="41">
    <w:abstractNumId w:val="9"/>
  </w:num>
  <w:num w:numId="4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1020"/>
    <w:rsid w:val="000960DF"/>
    <w:rsid w:val="000C2216"/>
    <w:rsid w:val="000C78C8"/>
    <w:rsid w:val="000D2314"/>
    <w:rsid w:val="00150490"/>
    <w:rsid w:val="00156D0A"/>
    <w:rsid w:val="00163FA4"/>
    <w:rsid w:val="001A442B"/>
    <w:rsid w:val="001B185E"/>
    <w:rsid w:val="00204EF4"/>
    <w:rsid w:val="00206D58"/>
    <w:rsid w:val="0028641F"/>
    <w:rsid w:val="002A22F6"/>
    <w:rsid w:val="002A3A42"/>
    <w:rsid w:val="002A6289"/>
    <w:rsid w:val="00312741"/>
    <w:rsid w:val="00313D8F"/>
    <w:rsid w:val="0034031B"/>
    <w:rsid w:val="00342864"/>
    <w:rsid w:val="00383BE4"/>
    <w:rsid w:val="0038783D"/>
    <w:rsid w:val="003D2793"/>
    <w:rsid w:val="003E7686"/>
    <w:rsid w:val="003F3844"/>
    <w:rsid w:val="004038BC"/>
    <w:rsid w:val="00433245"/>
    <w:rsid w:val="004351CB"/>
    <w:rsid w:val="00454DB9"/>
    <w:rsid w:val="0047004C"/>
    <w:rsid w:val="004B213C"/>
    <w:rsid w:val="004B62BC"/>
    <w:rsid w:val="00520911"/>
    <w:rsid w:val="005304FA"/>
    <w:rsid w:val="005334F0"/>
    <w:rsid w:val="00577FC7"/>
    <w:rsid w:val="006305E9"/>
    <w:rsid w:val="0069045B"/>
    <w:rsid w:val="006A466D"/>
    <w:rsid w:val="006E5930"/>
    <w:rsid w:val="0073465A"/>
    <w:rsid w:val="00763ABC"/>
    <w:rsid w:val="007D57E7"/>
    <w:rsid w:val="007D7593"/>
    <w:rsid w:val="00816100"/>
    <w:rsid w:val="00897CED"/>
    <w:rsid w:val="008C2DD8"/>
    <w:rsid w:val="00966C54"/>
    <w:rsid w:val="00991891"/>
    <w:rsid w:val="009C4F5C"/>
    <w:rsid w:val="009E0267"/>
    <w:rsid w:val="009E5F27"/>
    <w:rsid w:val="00A02F78"/>
    <w:rsid w:val="00A44E5C"/>
    <w:rsid w:val="00AB2177"/>
    <w:rsid w:val="00B23ED2"/>
    <w:rsid w:val="00B458D1"/>
    <w:rsid w:val="00BC7029"/>
    <w:rsid w:val="00C236E4"/>
    <w:rsid w:val="00C23756"/>
    <w:rsid w:val="00C2728A"/>
    <w:rsid w:val="00C427E1"/>
    <w:rsid w:val="00CF4DED"/>
    <w:rsid w:val="00D107E0"/>
    <w:rsid w:val="00E100BA"/>
    <w:rsid w:val="00E81DBF"/>
    <w:rsid w:val="00E96F83"/>
    <w:rsid w:val="00EA44C0"/>
    <w:rsid w:val="00EE32BF"/>
    <w:rsid w:val="00F01020"/>
    <w:rsid w:val="00F04590"/>
    <w:rsid w:val="00F50D7A"/>
    <w:rsid w:val="00F643EE"/>
    <w:rsid w:val="00F71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0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H1,H11"/>
    <w:basedOn w:val="Normalny"/>
    <w:next w:val="Normalny"/>
    <w:link w:val="Nagwek1Znak"/>
    <w:qFormat/>
    <w:rsid w:val="00520911"/>
    <w:pPr>
      <w:keepNext/>
      <w:widowControl w:val="0"/>
      <w:numPr>
        <w:numId w:val="34"/>
      </w:numPr>
      <w:autoSpaceDN w:val="0"/>
      <w:spacing w:before="240" w:after="60"/>
      <w:textAlignment w:val="baseline"/>
      <w:outlineLvl w:val="0"/>
    </w:pPr>
    <w:rPr>
      <w:rFonts w:ascii="Cambria" w:hAnsi="Cambria" w:cs="Mangal"/>
      <w:b/>
      <w:bCs/>
      <w:kern w:val="32"/>
      <w:sz w:val="32"/>
      <w:szCs w:val="29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520911"/>
    <w:pPr>
      <w:keepNext/>
      <w:numPr>
        <w:ilvl w:val="1"/>
        <w:numId w:val="34"/>
      </w:numPr>
      <w:suppressAutoHyphens w:val="0"/>
      <w:spacing w:line="360" w:lineRule="auto"/>
      <w:outlineLvl w:val="1"/>
    </w:pPr>
    <w:rPr>
      <w:rFonts w:ascii="Cambria" w:hAnsi="Cambria" w:cs="Mangal"/>
      <w:b/>
      <w:bCs/>
      <w:iCs/>
      <w:kern w:val="3"/>
      <w:sz w:val="28"/>
      <w:szCs w:val="25"/>
      <w:lang w:eastAsia="zh-CN" w:bidi="hi-IN"/>
    </w:rPr>
  </w:style>
  <w:style w:type="paragraph" w:styleId="Nagwek3">
    <w:name w:val="heading 3"/>
    <w:basedOn w:val="Normalny"/>
    <w:next w:val="Normalny"/>
    <w:link w:val="Nagwek3Znak"/>
    <w:qFormat/>
    <w:rsid w:val="00520911"/>
    <w:pPr>
      <w:keepNext/>
      <w:widowControl w:val="0"/>
      <w:numPr>
        <w:ilvl w:val="2"/>
        <w:numId w:val="34"/>
      </w:numPr>
      <w:autoSpaceDN w:val="0"/>
      <w:spacing w:before="240" w:after="60"/>
      <w:textAlignment w:val="baseline"/>
      <w:outlineLvl w:val="2"/>
    </w:pPr>
    <w:rPr>
      <w:rFonts w:ascii="Cambria" w:hAnsi="Cambria" w:cs="Mangal"/>
      <w:b/>
      <w:bCs/>
      <w:kern w:val="3"/>
      <w:sz w:val="26"/>
      <w:szCs w:val="23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520911"/>
    <w:pPr>
      <w:keepNext/>
      <w:widowControl w:val="0"/>
      <w:numPr>
        <w:ilvl w:val="3"/>
        <w:numId w:val="34"/>
      </w:numPr>
      <w:autoSpaceDN w:val="0"/>
      <w:spacing w:before="240" w:after="60"/>
      <w:textAlignment w:val="baseline"/>
      <w:outlineLvl w:val="3"/>
    </w:pPr>
    <w:rPr>
      <w:rFonts w:ascii="Calibri" w:hAnsi="Calibri" w:cs="Mangal"/>
      <w:b/>
      <w:bCs/>
      <w:kern w:val="3"/>
      <w:sz w:val="28"/>
      <w:szCs w:val="25"/>
      <w:lang w:eastAsia="zh-CN" w:bidi="hi-IN"/>
    </w:rPr>
  </w:style>
  <w:style w:type="paragraph" w:styleId="Nagwek5">
    <w:name w:val="heading 5"/>
    <w:basedOn w:val="Normalny"/>
    <w:next w:val="Normalny"/>
    <w:link w:val="Nagwek5Znak"/>
    <w:qFormat/>
    <w:rsid w:val="00520911"/>
    <w:pPr>
      <w:widowControl w:val="0"/>
      <w:numPr>
        <w:ilvl w:val="4"/>
        <w:numId w:val="34"/>
      </w:numPr>
      <w:autoSpaceDN w:val="0"/>
      <w:spacing w:before="240" w:after="60"/>
      <w:textAlignment w:val="baseline"/>
      <w:outlineLvl w:val="4"/>
    </w:pPr>
    <w:rPr>
      <w:rFonts w:ascii="Calibri" w:hAnsi="Calibri" w:cs="Mangal"/>
      <w:b/>
      <w:bCs/>
      <w:i/>
      <w:iCs/>
      <w:kern w:val="3"/>
      <w:sz w:val="26"/>
      <w:szCs w:val="23"/>
      <w:lang w:eastAsia="zh-CN" w:bidi="hi-IN"/>
    </w:rPr>
  </w:style>
  <w:style w:type="paragraph" w:styleId="Nagwek6">
    <w:name w:val="heading 6"/>
    <w:basedOn w:val="Normalny"/>
    <w:next w:val="Normalny"/>
    <w:link w:val="Nagwek6Znak"/>
    <w:qFormat/>
    <w:rsid w:val="00520911"/>
    <w:pPr>
      <w:keepNext/>
      <w:numPr>
        <w:ilvl w:val="5"/>
        <w:numId w:val="34"/>
      </w:numPr>
      <w:suppressAutoHyphens w:val="0"/>
      <w:spacing w:line="360" w:lineRule="auto"/>
      <w:outlineLvl w:val="5"/>
    </w:pPr>
    <w:rPr>
      <w:b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20911"/>
    <w:pPr>
      <w:widowControl w:val="0"/>
      <w:numPr>
        <w:ilvl w:val="6"/>
        <w:numId w:val="34"/>
      </w:numPr>
      <w:autoSpaceDN w:val="0"/>
      <w:spacing w:before="240" w:after="60"/>
      <w:textAlignment w:val="baseline"/>
      <w:outlineLvl w:val="6"/>
    </w:pPr>
    <w:rPr>
      <w:rFonts w:ascii="Calibri" w:hAnsi="Calibri" w:cs="Mangal"/>
      <w:kern w:val="3"/>
      <w:szCs w:val="21"/>
      <w:lang w:eastAsia="zh-CN" w:bidi="hi-IN"/>
    </w:rPr>
  </w:style>
  <w:style w:type="paragraph" w:styleId="Nagwek8">
    <w:name w:val="heading 8"/>
    <w:basedOn w:val="Normalny"/>
    <w:next w:val="Normalny"/>
    <w:link w:val="Nagwek8Znak"/>
    <w:qFormat/>
    <w:rsid w:val="00520911"/>
    <w:pPr>
      <w:numPr>
        <w:ilvl w:val="7"/>
        <w:numId w:val="34"/>
      </w:numPr>
      <w:suppressAutoHyphens w:val="0"/>
      <w:spacing w:before="240" w:after="60"/>
      <w:outlineLvl w:val="7"/>
    </w:pPr>
    <w:rPr>
      <w:rFonts w:ascii="Calibri" w:hAnsi="Calibri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20911"/>
    <w:pPr>
      <w:widowControl w:val="0"/>
      <w:numPr>
        <w:ilvl w:val="8"/>
        <w:numId w:val="34"/>
      </w:numPr>
      <w:autoSpaceDN w:val="0"/>
      <w:spacing w:before="240" w:after="60"/>
      <w:textAlignment w:val="baseline"/>
      <w:outlineLvl w:val="8"/>
    </w:pPr>
    <w:rPr>
      <w:rFonts w:ascii="Cambria" w:hAnsi="Cambria" w:cs="Mangal"/>
      <w:kern w:val="3"/>
      <w:sz w:val="22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(.)"/>
    <w:basedOn w:val="Normalny"/>
    <w:uiPriority w:val="34"/>
    <w:qFormat/>
    <w:rsid w:val="00F010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020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628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628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6289"/>
    <w:rPr>
      <w:vertAlign w:val="superscript"/>
    </w:rPr>
  </w:style>
  <w:style w:type="character" w:customStyle="1" w:styleId="Nagwek1Znak">
    <w:name w:val="Nagłówek 1 Znak"/>
    <w:aliases w:val="H1 Znak,H11 Znak"/>
    <w:basedOn w:val="Domylnaczcionkaakapitu"/>
    <w:link w:val="Nagwek1"/>
    <w:rsid w:val="00520911"/>
    <w:rPr>
      <w:rFonts w:ascii="Cambria" w:eastAsia="Times New Roman" w:hAnsi="Cambria" w:cs="Mangal"/>
      <w:b/>
      <w:bCs/>
      <w:kern w:val="32"/>
      <w:sz w:val="32"/>
      <w:szCs w:val="29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520911"/>
    <w:rPr>
      <w:rFonts w:ascii="Cambria" w:eastAsia="Times New Roman" w:hAnsi="Cambria" w:cs="Mangal"/>
      <w:b/>
      <w:bCs/>
      <w:iCs/>
      <w:kern w:val="3"/>
      <w:sz w:val="28"/>
      <w:szCs w:val="25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520911"/>
    <w:rPr>
      <w:rFonts w:ascii="Cambria" w:eastAsia="Times New Roman" w:hAnsi="Cambria" w:cs="Mangal"/>
      <w:b/>
      <w:bCs/>
      <w:kern w:val="3"/>
      <w:sz w:val="26"/>
      <w:szCs w:val="23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520911"/>
    <w:rPr>
      <w:rFonts w:ascii="Calibri" w:eastAsia="Times New Roman" w:hAnsi="Calibri" w:cs="Mangal"/>
      <w:b/>
      <w:bCs/>
      <w:kern w:val="3"/>
      <w:sz w:val="28"/>
      <w:szCs w:val="25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520911"/>
    <w:rPr>
      <w:rFonts w:ascii="Calibri" w:eastAsia="Times New Roman" w:hAnsi="Calibri" w:cs="Mangal"/>
      <w:b/>
      <w:bCs/>
      <w:i/>
      <w:iCs/>
      <w:kern w:val="3"/>
      <w:sz w:val="26"/>
      <w:szCs w:val="23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520911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520911"/>
    <w:rPr>
      <w:rFonts w:ascii="Calibri" w:eastAsia="Times New Roman" w:hAnsi="Calibri" w:cs="Mangal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520911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20911"/>
    <w:rPr>
      <w:rFonts w:ascii="Cambria" w:eastAsia="Times New Roman" w:hAnsi="Cambria" w:cs="Mangal"/>
      <w:kern w:val="3"/>
      <w:szCs w:val="20"/>
      <w:lang w:eastAsia="zh-CN" w:bidi="hi-IN"/>
    </w:rPr>
  </w:style>
  <w:style w:type="paragraph" w:customStyle="1" w:styleId="StylWyjustowanyPierwszywiersz125cmInterlinia15wier">
    <w:name w:val="Styl Wyjustowany Pierwszy wiersz:  125 cm Interlinia:  15 wier..."/>
    <w:basedOn w:val="Normalny"/>
    <w:rsid w:val="0069045B"/>
    <w:pPr>
      <w:ind w:firstLine="709"/>
      <w:jc w:val="both"/>
    </w:pPr>
    <w:rPr>
      <w:rFonts w:ascii="Arial" w:hAnsi="Arial"/>
      <w:sz w:val="22"/>
      <w:szCs w:val="22"/>
    </w:rPr>
  </w:style>
  <w:style w:type="paragraph" w:customStyle="1" w:styleId="StylWyjustowanyInterlinia15wiersza">
    <w:name w:val="Styl Wyjustowany Interlinia:  15 wiersza"/>
    <w:basedOn w:val="Normalny"/>
    <w:rsid w:val="0069045B"/>
    <w:pPr>
      <w:ind w:firstLine="709"/>
      <w:jc w:val="both"/>
    </w:pPr>
    <w:rPr>
      <w:rFonts w:ascii="Arial" w:hAnsi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2249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TOSHIBA</cp:lastModifiedBy>
  <cp:revision>7</cp:revision>
  <cp:lastPrinted>2017-06-13T08:17:00Z</cp:lastPrinted>
  <dcterms:created xsi:type="dcterms:W3CDTF">2018-09-17T15:35:00Z</dcterms:created>
  <dcterms:modified xsi:type="dcterms:W3CDTF">2018-09-28T07:51:00Z</dcterms:modified>
</cp:coreProperties>
</file>